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7D360D" w:rsidRDefault="00FD0462" w:rsidP="00FD0462">
            <w:pPr>
              <w:tabs>
                <w:tab w:val="center" w:pos="4651"/>
              </w:tabs>
              <w:ind w:left="284"/>
              <w:rPr>
                <w:b/>
              </w:rPr>
            </w:pPr>
            <w:r>
              <w:rPr>
                <w:b/>
              </w:rPr>
              <w:t xml:space="preserve">       03</w:t>
            </w:r>
            <w:r w:rsidRPr="007D360D">
              <w:rPr>
                <w:b/>
              </w:rPr>
              <w:t>.</w:t>
            </w:r>
            <w:r>
              <w:rPr>
                <w:b/>
              </w:rPr>
              <w:t>08</w:t>
            </w:r>
            <w:r w:rsidRPr="007D360D">
              <w:rPr>
                <w:b/>
              </w:rPr>
              <w:t>.201</w:t>
            </w:r>
            <w:r>
              <w:rPr>
                <w:b/>
              </w:rPr>
              <w:t>5</w:t>
            </w:r>
            <w:r w:rsidRPr="007D360D">
              <w:rPr>
                <w:b/>
              </w:rPr>
              <w:t>г.</w:t>
            </w:r>
          </w:p>
        </w:tc>
        <w:tc>
          <w:tcPr>
            <w:tcW w:w="1924" w:type="dxa"/>
            <w:vAlign w:val="bottom"/>
          </w:tcPr>
          <w:p w:rsidR="00FD0462" w:rsidRPr="007D360D" w:rsidRDefault="00FD0462" w:rsidP="00FD0462">
            <w:pPr>
              <w:tabs>
                <w:tab w:val="center" w:pos="4651"/>
              </w:tabs>
              <w:rPr>
                <w:b/>
              </w:rPr>
            </w:pPr>
            <w:r w:rsidRPr="007D360D">
              <w:rPr>
                <w:b/>
              </w:rPr>
              <w:t xml:space="preserve">   </w:t>
            </w:r>
            <w:r>
              <w:rPr>
                <w:b/>
              </w:rPr>
              <w:t xml:space="preserve">  </w:t>
            </w:r>
            <w:r w:rsidRPr="007D360D">
              <w:rPr>
                <w:b/>
              </w:rPr>
              <w:t>32/01-</w:t>
            </w:r>
            <w:r w:rsidR="008D461D">
              <w:rPr>
                <w:b/>
              </w:rPr>
              <w:t>3215</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FD0462"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Pr="00267CDD" w:rsidRDefault="00FD0462" w:rsidP="00FD0462">
      <w:pPr>
        <w:autoSpaceDE w:val="0"/>
        <w:autoSpaceDN w:val="0"/>
        <w:adjustRightInd w:val="0"/>
        <w:jc w:val="center"/>
        <w:rPr>
          <w:b/>
          <w:sz w:val="26"/>
          <w:szCs w:val="26"/>
        </w:rPr>
      </w:pPr>
      <w:r w:rsidRPr="00267CDD">
        <w:rPr>
          <w:b/>
          <w:sz w:val="26"/>
          <w:szCs w:val="26"/>
        </w:rPr>
        <w:t xml:space="preserve">о проведении </w:t>
      </w:r>
      <w:r>
        <w:rPr>
          <w:b/>
          <w:sz w:val="26"/>
          <w:szCs w:val="26"/>
        </w:rPr>
        <w:t>закупки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поставки </w:t>
      </w:r>
      <w:r>
        <w:rPr>
          <w:sz w:val="22"/>
          <w:szCs w:val="22"/>
        </w:rPr>
        <w:t xml:space="preserve">расходных материалов и комплектующих к оргтехнике </w:t>
      </w:r>
      <w:r w:rsidRPr="00181014">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Pr>
          <w:sz w:val="22"/>
          <w:szCs w:val="22"/>
        </w:rPr>
        <w:t>74</w:t>
      </w:r>
      <w:r w:rsidRPr="00181014">
        <w:rPr>
          <w:sz w:val="22"/>
          <w:szCs w:val="22"/>
        </w:rPr>
        <w:t>-</w:t>
      </w:r>
      <w:r>
        <w:rPr>
          <w:sz w:val="22"/>
          <w:szCs w:val="22"/>
        </w:rPr>
        <w:t>ХОЗ</w:t>
      </w:r>
      <w:r w:rsidRPr="00181014">
        <w:rPr>
          <w:sz w:val="22"/>
          <w:szCs w:val="22"/>
        </w:rPr>
        <w:t>-201</w:t>
      </w:r>
      <w:r>
        <w:rPr>
          <w:sz w:val="22"/>
          <w:szCs w:val="22"/>
        </w:rPr>
        <w:t>5</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Pr>
          <w:sz w:val="22"/>
          <w:szCs w:val="22"/>
        </w:rPr>
        <w:t>1 564 069</w:t>
      </w:r>
      <w:r w:rsidRPr="004D3F50">
        <w:rPr>
          <w:sz w:val="22"/>
          <w:szCs w:val="22"/>
        </w:rPr>
        <w:t>,</w:t>
      </w:r>
      <w:r>
        <w:rPr>
          <w:sz w:val="22"/>
          <w:szCs w:val="22"/>
        </w:rPr>
        <w:t>53</w:t>
      </w:r>
      <w:r w:rsidRPr="004D3F50">
        <w:rPr>
          <w:sz w:val="22"/>
          <w:szCs w:val="22"/>
        </w:rPr>
        <w:t xml:space="preserve"> руб.  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Pr>
          <w:sz w:val="22"/>
          <w:szCs w:val="22"/>
        </w:rPr>
        <w:t>1 325 482,65</w:t>
      </w:r>
      <w:r w:rsidRPr="004D3F50">
        <w:rPr>
          <w:sz w:val="22"/>
          <w:szCs w:val="22"/>
        </w:rPr>
        <w:t xml:space="preserve"> руб. без учета НДС.</w:t>
      </w:r>
    </w:p>
    <w:p w:rsidR="00FD0462" w:rsidRDefault="00FD0462" w:rsidP="00FD0462">
      <w:pPr>
        <w:pStyle w:val="af"/>
        <w:rPr>
          <w:sz w:val="22"/>
          <w:szCs w:val="22"/>
        </w:rPr>
      </w:pPr>
    </w:p>
    <w:p w:rsidR="00FD0462" w:rsidRPr="00E87CF6" w:rsidRDefault="00FD0462" w:rsidP="00FD0462">
      <w:pPr>
        <w:pStyle w:val="20"/>
        <w:tabs>
          <w:tab w:val="num" w:pos="360"/>
        </w:tabs>
        <w:spacing w:line="240" w:lineRule="auto"/>
        <w:ind w:left="351" w:hanging="357"/>
        <w:jc w:val="both"/>
        <w:rPr>
          <w:sz w:val="22"/>
          <w:szCs w:val="22"/>
        </w:rPr>
      </w:pPr>
      <w:r w:rsidRPr="00BD6A54">
        <w:rPr>
          <w:b/>
          <w:sz w:val="22"/>
          <w:szCs w:val="22"/>
          <w:u w:val="single"/>
        </w:rPr>
        <w:lastRenderedPageBreak/>
        <w:t xml:space="preserve">Срок предоставления Документации о </w:t>
      </w:r>
      <w:r w:rsidRPr="00E87CF6">
        <w:rPr>
          <w:b/>
          <w:sz w:val="22"/>
          <w:szCs w:val="22"/>
          <w:u w:val="single"/>
        </w:rPr>
        <w:t>закупке:</w:t>
      </w:r>
      <w:r w:rsidRPr="00FD0462">
        <w:rPr>
          <w:sz w:val="22"/>
          <w:szCs w:val="22"/>
        </w:rPr>
        <w:t xml:space="preserve"> </w:t>
      </w:r>
      <w:r w:rsidRPr="00E87CF6">
        <w:rPr>
          <w:sz w:val="22"/>
          <w:szCs w:val="22"/>
        </w:rPr>
        <w:t xml:space="preserve">с </w:t>
      </w:r>
      <w:r>
        <w:rPr>
          <w:sz w:val="22"/>
          <w:szCs w:val="22"/>
        </w:rPr>
        <w:t>03</w:t>
      </w:r>
      <w:r w:rsidRPr="00E87CF6">
        <w:rPr>
          <w:sz w:val="22"/>
          <w:szCs w:val="22"/>
        </w:rPr>
        <w:t>.</w:t>
      </w:r>
      <w:r>
        <w:rPr>
          <w:sz w:val="22"/>
          <w:szCs w:val="22"/>
        </w:rPr>
        <w:t>08</w:t>
      </w:r>
      <w:r w:rsidRPr="00E87CF6">
        <w:rPr>
          <w:sz w:val="22"/>
          <w:szCs w:val="22"/>
        </w:rPr>
        <w:t>.201</w:t>
      </w:r>
      <w:r>
        <w:rPr>
          <w:sz w:val="22"/>
          <w:szCs w:val="22"/>
        </w:rPr>
        <w:t>5</w:t>
      </w:r>
      <w:r w:rsidRPr="00E87CF6">
        <w:rPr>
          <w:sz w:val="22"/>
          <w:szCs w:val="22"/>
        </w:rPr>
        <w:t xml:space="preserve"> года по </w:t>
      </w:r>
      <w:r>
        <w:rPr>
          <w:sz w:val="22"/>
          <w:szCs w:val="22"/>
        </w:rPr>
        <w:t>24</w:t>
      </w:r>
      <w:r w:rsidRPr="00E87CF6">
        <w:rPr>
          <w:sz w:val="22"/>
          <w:szCs w:val="22"/>
        </w:rPr>
        <w:t>.</w:t>
      </w:r>
      <w:r>
        <w:rPr>
          <w:sz w:val="22"/>
          <w:szCs w:val="22"/>
        </w:rPr>
        <w:t>08</w:t>
      </w:r>
      <w:r w:rsidRPr="00E87CF6">
        <w:rPr>
          <w:sz w:val="22"/>
          <w:szCs w:val="22"/>
        </w:rPr>
        <w:t>.201</w:t>
      </w:r>
      <w:r>
        <w:rPr>
          <w:sz w:val="22"/>
          <w:szCs w:val="22"/>
        </w:rPr>
        <w:t>5</w:t>
      </w:r>
      <w:r w:rsidRPr="00E87CF6">
        <w:rPr>
          <w:sz w:val="22"/>
          <w:szCs w:val="22"/>
        </w:rPr>
        <w:t xml:space="preserve"> года.</w:t>
      </w:r>
    </w:p>
    <w:p w:rsidR="00FD0462" w:rsidRPr="002D5E84" w:rsidRDefault="00FD0462" w:rsidP="00FD0462">
      <w:pPr>
        <w:pStyle w:val="20"/>
        <w:numPr>
          <w:ilvl w:val="0"/>
          <w:numId w:val="0"/>
        </w:numPr>
        <w:spacing w:line="240" w:lineRule="auto"/>
        <w:ind w:left="351"/>
        <w:jc w:val="both"/>
        <w:rPr>
          <w:b/>
          <w:color w:val="0000FF"/>
          <w:sz w:val="22"/>
          <w:szCs w:val="22"/>
          <w:u w:val="single"/>
        </w:rPr>
      </w:pPr>
    </w:p>
    <w:p w:rsidR="00FD0462" w:rsidRDefault="00FD0462" w:rsidP="00FD0462">
      <w:pPr>
        <w:pStyle w:val="af"/>
        <w:rPr>
          <w:rStyle w:val="a9"/>
          <w:b/>
          <w:sz w:val="22"/>
          <w:szCs w:val="22"/>
        </w:rPr>
      </w:pPr>
    </w:p>
    <w:p w:rsidR="00FD0462" w:rsidRPr="00BB7FF3" w:rsidRDefault="00FD0462" w:rsidP="00FD0462">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Pr="00BB7FF3">
        <w:rPr>
          <w:sz w:val="22"/>
          <w:szCs w:val="22"/>
        </w:rPr>
        <w:t>в соответствии с требованиями аукционной документации</w:t>
      </w:r>
      <w:r>
        <w:rPr>
          <w:sz w:val="22"/>
          <w:szCs w:val="22"/>
        </w:rPr>
        <w:t>, через электронную Информационно-аналитическую и торгово-операционную Си</w:t>
      </w:r>
      <w:r w:rsidRPr="00AF2253">
        <w:rPr>
          <w:sz w:val="22"/>
          <w:szCs w:val="22"/>
        </w:rPr>
        <w:t>стем</w:t>
      </w:r>
      <w:r>
        <w:rPr>
          <w:sz w:val="22"/>
          <w:szCs w:val="22"/>
        </w:rPr>
        <w:t>у</w:t>
      </w:r>
      <w:r w:rsidRPr="00AF2253">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Pr>
          <w:sz w:val="22"/>
          <w:szCs w:val="22"/>
        </w:rPr>
        <w:t>.</w:t>
      </w:r>
    </w:p>
    <w:p w:rsidR="00FD0462" w:rsidRDefault="00FD0462" w:rsidP="00FD0462">
      <w:pPr>
        <w:pStyle w:val="20"/>
        <w:numPr>
          <w:ilvl w:val="0"/>
          <w:numId w:val="0"/>
        </w:numPr>
        <w:spacing w:line="240" w:lineRule="auto"/>
        <w:ind w:left="351"/>
        <w:jc w:val="both"/>
        <w:rPr>
          <w:b/>
          <w:sz w:val="22"/>
          <w:szCs w:val="22"/>
          <w:u w:val="single"/>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Default="00FD0462" w:rsidP="00FD0462">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Pr>
          <w:b/>
          <w:sz w:val="22"/>
          <w:szCs w:val="22"/>
        </w:rPr>
        <w:t>03</w:t>
      </w:r>
      <w:r w:rsidRPr="00265227">
        <w:rPr>
          <w:b/>
          <w:sz w:val="22"/>
          <w:szCs w:val="22"/>
        </w:rPr>
        <w:t xml:space="preserve"> </w:t>
      </w:r>
      <w:r>
        <w:rPr>
          <w:b/>
          <w:sz w:val="22"/>
          <w:szCs w:val="22"/>
        </w:rPr>
        <w:t>августа</w:t>
      </w:r>
      <w:r w:rsidRPr="00265227">
        <w:rPr>
          <w:b/>
          <w:sz w:val="22"/>
          <w:szCs w:val="22"/>
        </w:rPr>
        <w:t xml:space="preserve"> 201</w:t>
      </w:r>
      <w:r>
        <w:rPr>
          <w:b/>
          <w:sz w:val="22"/>
          <w:szCs w:val="22"/>
        </w:rPr>
        <w:t>5</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Pr="00190772">
        <w:rPr>
          <w:b/>
          <w:sz w:val="22"/>
          <w:szCs w:val="22"/>
        </w:rPr>
        <w:t>2</w:t>
      </w:r>
      <w:r>
        <w:rPr>
          <w:b/>
          <w:sz w:val="22"/>
          <w:szCs w:val="22"/>
        </w:rPr>
        <w:t>4</w:t>
      </w:r>
      <w:r w:rsidRPr="00265227">
        <w:rPr>
          <w:b/>
          <w:sz w:val="22"/>
          <w:szCs w:val="22"/>
        </w:rPr>
        <w:t xml:space="preserve"> </w:t>
      </w:r>
      <w:r>
        <w:rPr>
          <w:b/>
          <w:sz w:val="22"/>
          <w:szCs w:val="22"/>
        </w:rPr>
        <w:t>августа</w:t>
      </w:r>
      <w:r w:rsidRPr="00265227">
        <w:rPr>
          <w:b/>
          <w:sz w:val="22"/>
          <w:szCs w:val="22"/>
        </w:rPr>
        <w:t xml:space="preserve"> 2015г.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Pr>
          <w:b/>
          <w:sz w:val="22"/>
          <w:szCs w:val="22"/>
        </w:rPr>
        <w:t>24</w:t>
      </w:r>
      <w:r w:rsidRPr="00265227">
        <w:rPr>
          <w:b/>
          <w:sz w:val="22"/>
          <w:szCs w:val="22"/>
        </w:rPr>
        <w:t xml:space="preserve"> </w:t>
      </w:r>
      <w:r>
        <w:rPr>
          <w:b/>
          <w:sz w:val="22"/>
          <w:szCs w:val="22"/>
        </w:rPr>
        <w:t>августа</w:t>
      </w:r>
      <w:r w:rsidRPr="00265227">
        <w:rPr>
          <w:b/>
          <w:sz w:val="22"/>
          <w:szCs w:val="22"/>
        </w:rPr>
        <w:t xml:space="preserve"> 2015г.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FD0462" w:rsidRDefault="00FD0462" w:rsidP="00FD0462">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Pr="00D43F7F">
        <w:rPr>
          <w:b/>
          <w:sz w:val="22"/>
          <w:szCs w:val="22"/>
        </w:rPr>
        <w:t>2</w:t>
      </w:r>
      <w:r>
        <w:rPr>
          <w:b/>
          <w:sz w:val="22"/>
          <w:szCs w:val="22"/>
        </w:rPr>
        <w:t>4</w:t>
      </w:r>
      <w:r w:rsidRPr="007C61D3">
        <w:rPr>
          <w:b/>
          <w:sz w:val="22"/>
          <w:szCs w:val="22"/>
        </w:rPr>
        <w:t xml:space="preserve"> </w:t>
      </w:r>
      <w:r>
        <w:rPr>
          <w:b/>
          <w:sz w:val="22"/>
          <w:szCs w:val="22"/>
        </w:rPr>
        <w:t>августа</w:t>
      </w:r>
      <w:r w:rsidRPr="007C61D3">
        <w:rPr>
          <w:b/>
          <w:sz w:val="22"/>
          <w:szCs w:val="22"/>
        </w:rPr>
        <w:t xml:space="preserve"> 201</w:t>
      </w:r>
      <w:r>
        <w:rPr>
          <w:b/>
          <w:sz w:val="22"/>
          <w:szCs w:val="22"/>
        </w:rPr>
        <w:t>5</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Pr>
          <w:b/>
          <w:sz w:val="22"/>
          <w:szCs w:val="22"/>
        </w:rPr>
        <w:t>02 сентября</w:t>
      </w:r>
      <w:r w:rsidRPr="003968EC">
        <w:rPr>
          <w:b/>
          <w:sz w:val="22"/>
          <w:szCs w:val="22"/>
        </w:rPr>
        <w:t xml:space="preserve"> 201</w:t>
      </w:r>
      <w:r>
        <w:rPr>
          <w:b/>
          <w:sz w:val="22"/>
          <w:szCs w:val="22"/>
        </w:rPr>
        <w:t>5</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lastRenderedPageBreak/>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Pr>
          <w:b/>
          <w:sz w:val="22"/>
          <w:szCs w:val="22"/>
        </w:rPr>
        <w:t>03 сентября</w:t>
      </w:r>
      <w:r w:rsidRPr="007C61D3">
        <w:rPr>
          <w:b/>
          <w:sz w:val="22"/>
          <w:szCs w:val="22"/>
        </w:rPr>
        <w:t xml:space="preserve"> 201</w:t>
      </w:r>
      <w:r>
        <w:rPr>
          <w:b/>
          <w:sz w:val="22"/>
          <w:szCs w:val="22"/>
        </w:rPr>
        <w:t>5</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Default="00FD0462" w:rsidP="00FD0462">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EE2FAD">
        <w:rPr>
          <w:b/>
          <w:sz w:val="22"/>
          <w:szCs w:val="22"/>
        </w:rPr>
        <w:t>1</w:t>
      </w:r>
      <w:r w:rsidR="00D94FAD">
        <w:rPr>
          <w:b/>
          <w:sz w:val="22"/>
          <w:szCs w:val="22"/>
        </w:rPr>
        <w:t>3</w:t>
      </w:r>
      <w:r w:rsidRPr="00B63E1E">
        <w:rPr>
          <w:b/>
          <w:sz w:val="22"/>
          <w:szCs w:val="22"/>
        </w:rPr>
        <w:t> 000 (</w:t>
      </w:r>
      <w:r w:rsidR="00D94FAD">
        <w:rPr>
          <w:b/>
          <w:sz w:val="22"/>
          <w:szCs w:val="22"/>
        </w:rPr>
        <w:t>тринадцать</w:t>
      </w:r>
      <w:r w:rsidRPr="00D86239">
        <w:rPr>
          <w:b/>
          <w:sz w:val="22"/>
          <w:szCs w:val="22"/>
        </w:rPr>
        <w:t xml:space="preserve"> тысяч) рублей 00 копеек</w:t>
      </w:r>
      <w:r>
        <w:rPr>
          <w:sz w:val="22"/>
          <w:szCs w:val="22"/>
        </w:rPr>
        <w:t xml:space="preserve"> </w:t>
      </w:r>
      <w:r w:rsidR="00D94FAD">
        <w:rPr>
          <w:sz w:val="22"/>
          <w:szCs w:val="22"/>
        </w:rPr>
        <w:t>без</w:t>
      </w:r>
      <w:r>
        <w:rPr>
          <w:sz w:val="22"/>
          <w:szCs w:val="22"/>
        </w:rPr>
        <w:t xml:space="preserve"> учет</w:t>
      </w:r>
      <w:r w:rsidR="00D94FAD">
        <w:rPr>
          <w:sz w:val="22"/>
          <w:szCs w:val="22"/>
        </w:rPr>
        <w:t>а</w:t>
      </w:r>
      <w:r>
        <w:rPr>
          <w:sz w:val="22"/>
          <w:szCs w:val="22"/>
        </w:rPr>
        <w:t xml:space="preserve"> НДС</w:t>
      </w:r>
      <w:r w:rsidR="00EE2FAD">
        <w:rPr>
          <w:sz w:val="22"/>
          <w:szCs w:val="22"/>
        </w:rPr>
        <w:t xml:space="preserve"> (18%)</w:t>
      </w:r>
      <w:r>
        <w:rPr>
          <w:sz w:val="22"/>
          <w:szCs w:val="22"/>
        </w:rPr>
        <w:t xml:space="preserve"> от начальной  (предельной) цены аукциона.</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EE2FAD">
        <w:rPr>
          <w:b/>
          <w:sz w:val="22"/>
          <w:szCs w:val="22"/>
        </w:rPr>
        <w:t>03</w:t>
      </w:r>
      <w:r w:rsidRPr="00C04BFA">
        <w:rPr>
          <w:b/>
          <w:sz w:val="22"/>
          <w:szCs w:val="22"/>
        </w:rPr>
        <w:t xml:space="preserve"> </w:t>
      </w:r>
      <w:r w:rsidR="00EE2FAD">
        <w:rPr>
          <w:b/>
          <w:sz w:val="22"/>
          <w:szCs w:val="22"/>
        </w:rPr>
        <w:t>сентября</w:t>
      </w:r>
      <w:r w:rsidRPr="00C04BFA">
        <w:rPr>
          <w:b/>
          <w:sz w:val="22"/>
          <w:szCs w:val="22"/>
        </w:rPr>
        <w:t xml:space="preserve"> 201</w:t>
      </w:r>
      <w:r>
        <w:rPr>
          <w:b/>
          <w:sz w:val="22"/>
          <w:szCs w:val="22"/>
        </w:rPr>
        <w:t>5</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Pr>
          <w:b/>
          <w:sz w:val="22"/>
          <w:szCs w:val="22"/>
        </w:rPr>
        <w:t>0</w:t>
      </w:r>
      <w:r w:rsidR="00EE2FAD">
        <w:rPr>
          <w:b/>
          <w:sz w:val="22"/>
          <w:szCs w:val="22"/>
        </w:rPr>
        <w:t>3</w:t>
      </w:r>
      <w:r w:rsidRPr="00FB55EA">
        <w:rPr>
          <w:b/>
          <w:sz w:val="22"/>
          <w:szCs w:val="22"/>
        </w:rPr>
        <w:t xml:space="preserve"> </w:t>
      </w:r>
      <w:r w:rsidR="00EE2FAD">
        <w:rPr>
          <w:b/>
          <w:sz w:val="22"/>
          <w:szCs w:val="22"/>
        </w:rPr>
        <w:t>сентября</w:t>
      </w:r>
      <w:r w:rsidRPr="00FB55EA">
        <w:rPr>
          <w:b/>
          <w:sz w:val="22"/>
          <w:szCs w:val="22"/>
        </w:rPr>
        <w:t xml:space="preserve"> 201</w:t>
      </w:r>
      <w:r>
        <w:rPr>
          <w:b/>
          <w:sz w:val="22"/>
          <w:szCs w:val="22"/>
        </w:rPr>
        <w:t>5</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календарных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1C" w:rsidRDefault="00D6611C">
      <w:r>
        <w:separator/>
      </w:r>
    </w:p>
  </w:endnote>
  <w:endnote w:type="continuationSeparator" w:id="0">
    <w:p w:rsidR="00D6611C" w:rsidRDefault="00D66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1C" w:rsidRDefault="00D6611C">
      <w:r>
        <w:separator/>
      </w:r>
    </w:p>
  </w:footnote>
  <w:footnote w:type="continuationSeparator" w:id="0">
    <w:p w:rsidR="00D6611C" w:rsidRDefault="00D66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609E"/>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702E9"/>
    <w:rsid w:val="00574202"/>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600FAC"/>
    <w:rsid w:val="00601568"/>
    <w:rsid w:val="00604E21"/>
    <w:rsid w:val="00605248"/>
    <w:rsid w:val="00605EE5"/>
    <w:rsid w:val="00610061"/>
    <w:rsid w:val="00615596"/>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023D"/>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65F9"/>
    <w:rsid w:val="009D66AC"/>
    <w:rsid w:val="009D6A33"/>
    <w:rsid w:val="009D6AEC"/>
    <w:rsid w:val="009D7A9F"/>
    <w:rsid w:val="009E4123"/>
    <w:rsid w:val="009E4A35"/>
    <w:rsid w:val="009E4C21"/>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0BAD"/>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11C"/>
    <w:rsid w:val="00D66D0A"/>
    <w:rsid w:val="00D7145E"/>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626B"/>
    <w:rsid w:val="00E67131"/>
    <w:rsid w:val="00E67ADC"/>
    <w:rsid w:val="00E7210C"/>
    <w:rsid w:val="00E74422"/>
    <w:rsid w:val="00E746F0"/>
    <w:rsid w:val="00E756C2"/>
    <w:rsid w:val="00E776DF"/>
    <w:rsid w:val="00E81C84"/>
    <w:rsid w:val="00E8410F"/>
    <w:rsid w:val="00E84BC9"/>
    <w:rsid w:val="00E87CF6"/>
    <w:rsid w:val="00E9076F"/>
    <w:rsid w:val="00E92715"/>
    <w:rsid w:val="00E96304"/>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0462"/>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6FDED-AD37-45CC-ABAE-4546AA5F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8519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12</cp:revision>
  <cp:lastPrinted>2015-07-31T11:54:00Z</cp:lastPrinted>
  <dcterms:created xsi:type="dcterms:W3CDTF">2015-07-31T10:21:00Z</dcterms:created>
  <dcterms:modified xsi:type="dcterms:W3CDTF">2015-08-03T05:09:00Z</dcterms:modified>
</cp:coreProperties>
</file>