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F1" w:rsidRDefault="00734AF1" w:rsidP="00734AF1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28.11.2023г.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734AF1" w:rsidTr="00734AF1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34AF1" w:rsidRDefault="00734AF1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34AF1" w:rsidRDefault="00734AF1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734AF1" w:rsidRDefault="00734AF1">
            <w:r>
              <w:t> </w:t>
            </w:r>
          </w:p>
        </w:tc>
      </w:tr>
      <w:tr w:rsidR="00734AF1" w:rsidTr="00734AF1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 xml:space="preserve">ул. </w:t>
            </w:r>
            <w:proofErr w:type="spellStart"/>
            <w:r>
              <w:t>Аникеевская</w:t>
            </w:r>
            <w:proofErr w:type="spellEnd"/>
          </w:p>
          <w:p w:rsidR="00734AF1" w:rsidRDefault="00734AF1">
            <w:r>
              <w:t xml:space="preserve">ул. 1, 2-ая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>28.11.2023-01.12.2023</w:t>
            </w:r>
          </w:p>
          <w:p w:rsidR="00734AF1" w:rsidRDefault="00734AF1">
            <w:r>
              <w:t>08.00-17.00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>ВЛ-0,4кВ от ТП-399 руб. 2, 4, 5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34AF1" w:rsidRDefault="00734AF1">
            <w:r>
              <w:t>допуск бригады ООО «Форсайт»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34AF1" w:rsidRDefault="00734AF1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734AF1" w:rsidRDefault="00734AF1">
            <w:r>
              <w:t> </w:t>
            </w:r>
          </w:p>
        </w:tc>
      </w:tr>
    </w:tbl>
    <w:p w:rsidR="006131B8" w:rsidRDefault="006131B8"/>
    <w:sectPr w:rsidR="0061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F1"/>
    <w:rsid w:val="006131B8"/>
    <w:rsid w:val="007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D6BD-45F2-4557-B286-849AFDCF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F1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2023-11-27T12:30:00Z</dcterms:created>
  <dcterms:modified xsi:type="dcterms:W3CDTF">2023-11-27T12:30:00Z</dcterms:modified>
</cp:coreProperties>
</file>