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DBE00" w14:textId="77777777" w:rsidR="005F4E51" w:rsidRDefault="00922A91" w:rsidP="005F4E51">
      <w:pPr>
        <w:spacing w:after="240"/>
        <w:jc w:val="center"/>
        <w:rPr>
          <w:b/>
          <w:bCs/>
          <w:sz w:val="26"/>
          <w:szCs w:val="26"/>
        </w:rPr>
      </w:pPr>
      <w:r>
        <w:rPr>
          <w:b/>
          <w:bCs/>
          <w:sz w:val="26"/>
          <w:szCs w:val="26"/>
        </w:rPr>
        <w:t>Основания</w:t>
      </w:r>
      <w:r w:rsidR="005F4E51">
        <w:rPr>
          <w:b/>
          <w:bCs/>
          <w:sz w:val="26"/>
          <w:szCs w:val="26"/>
        </w:rPr>
        <w:t xml:space="preserve"> для введения</w:t>
      </w:r>
      <w:r w:rsidR="005F4E51">
        <w:rPr>
          <w:b/>
          <w:bCs/>
          <w:sz w:val="26"/>
          <w:szCs w:val="26"/>
        </w:rPr>
        <w:br/>
        <w:t>полного и (или) частичного ограничения режима потребления электрической энергии</w:t>
      </w:r>
    </w:p>
    <w:tbl>
      <w:tblPr>
        <w:tblW w:w="9346" w:type="dxa"/>
        <w:jc w:val="center"/>
        <w:tblCellMar>
          <w:left w:w="0" w:type="dxa"/>
          <w:right w:w="0" w:type="dxa"/>
        </w:tblCellMar>
        <w:tblLook w:val="04A0" w:firstRow="1" w:lastRow="0" w:firstColumn="1" w:lastColumn="0" w:noHBand="0" w:noVBand="1"/>
      </w:tblPr>
      <w:tblGrid>
        <w:gridCol w:w="1701"/>
        <w:gridCol w:w="7645"/>
      </w:tblGrid>
      <w:tr w:rsidR="005F4E51" w14:paraId="0C652892" w14:textId="77777777" w:rsidTr="005F4E51">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4D2EE654" w14:textId="77777777" w:rsidR="005F4E51" w:rsidRDefault="005F4E51">
            <w:pPr>
              <w:spacing w:line="252" w:lineRule="auto"/>
              <w:jc w:val="center"/>
              <w:rPr>
                <w:sz w:val="24"/>
                <w:szCs w:val="24"/>
                <w:lang w:val="en-US"/>
              </w:rPr>
            </w:pPr>
            <w:r>
              <w:rPr>
                <w:sz w:val="24"/>
                <w:szCs w:val="24"/>
                <w:lang w:val="en-US"/>
              </w:rPr>
              <w:t>№</w:t>
            </w:r>
            <w:r>
              <w:rPr>
                <w:sz w:val="24"/>
                <w:szCs w:val="24"/>
                <w:lang w:val="en-US"/>
              </w:rPr>
              <w:br/>
              <w:t>п/п</w:t>
            </w:r>
          </w:p>
        </w:tc>
        <w:tc>
          <w:tcPr>
            <w:tcW w:w="7645"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1B46F657" w14:textId="77777777" w:rsidR="005F4E51" w:rsidRDefault="005F4E51">
            <w:pPr>
              <w:spacing w:line="252" w:lineRule="auto"/>
              <w:jc w:val="center"/>
              <w:rPr>
                <w:sz w:val="24"/>
                <w:szCs w:val="24"/>
              </w:rPr>
            </w:pPr>
            <w:r>
              <w:rPr>
                <w:sz w:val="24"/>
                <w:szCs w:val="24"/>
              </w:rPr>
              <w:t>Основания для введения полного и (или) частичного</w:t>
            </w:r>
            <w:r>
              <w:rPr>
                <w:sz w:val="24"/>
                <w:szCs w:val="24"/>
              </w:rPr>
              <w:br/>
              <w:t>ограничения режима потребления электрической энергии</w:t>
            </w:r>
          </w:p>
        </w:tc>
      </w:tr>
      <w:tr w:rsidR="005F4E51" w14:paraId="31468F82" w14:textId="77777777" w:rsidTr="005F4E51">
        <w:trPr>
          <w:jc w:val="center"/>
        </w:trPr>
        <w:tc>
          <w:tcPr>
            <w:tcW w:w="1701"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1FD22F06" w14:textId="77777777" w:rsidR="005F4E51" w:rsidRDefault="005F4E51">
            <w:pPr>
              <w:spacing w:line="252" w:lineRule="auto"/>
              <w:jc w:val="center"/>
              <w:rPr>
                <w:sz w:val="24"/>
                <w:szCs w:val="24"/>
                <w:lang w:val="en-US"/>
              </w:rPr>
            </w:pPr>
            <w:r>
              <w:rPr>
                <w:sz w:val="24"/>
                <w:szCs w:val="24"/>
                <w:lang w:val="en-US"/>
              </w:rPr>
              <w:t>1</w:t>
            </w:r>
          </w:p>
        </w:tc>
        <w:tc>
          <w:tcPr>
            <w:tcW w:w="7645" w:type="dxa"/>
            <w:tcBorders>
              <w:top w:val="nil"/>
              <w:left w:val="nil"/>
              <w:bottom w:val="single" w:sz="8" w:space="0" w:color="auto"/>
              <w:right w:val="single" w:sz="8" w:space="0" w:color="auto"/>
            </w:tcBorders>
            <w:tcMar>
              <w:top w:w="0" w:type="dxa"/>
              <w:left w:w="28" w:type="dxa"/>
              <w:bottom w:w="0" w:type="dxa"/>
              <w:right w:w="28" w:type="dxa"/>
            </w:tcMar>
            <w:hideMark/>
          </w:tcPr>
          <w:p w14:paraId="5D62C5AE" w14:textId="77777777" w:rsidR="005F4E51" w:rsidRPr="005F4E51" w:rsidRDefault="005F4E51" w:rsidP="005F4E51">
            <w:pPr>
              <w:spacing w:line="252" w:lineRule="auto"/>
              <w:jc w:val="both"/>
              <w:rPr>
                <w:sz w:val="24"/>
                <w:szCs w:val="24"/>
              </w:rPr>
            </w:pPr>
            <w:r>
              <w:rPr>
                <w:color w:val="000000"/>
                <w:sz w:val="24"/>
                <w:szCs w:val="24"/>
                <w:shd w:val="clear" w:color="auto" w:fill="FFFFFF"/>
              </w:rPr>
              <w:t>П</w:t>
            </w:r>
            <w:r w:rsidRPr="005F4E51">
              <w:rPr>
                <w:color w:val="000000"/>
                <w:sz w:val="24"/>
                <w:szCs w:val="24"/>
                <w:shd w:val="clear" w:color="auto" w:fill="FFFFFF"/>
              </w:rPr>
              <w:t>олучение законного требования судебного пристава-исполнителя о введении ограничения режима потребления</w:t>
            </w:r>
            <w:r>
              <w:rPr>
                <w:color w:val="000000"/>
                <w:sz w:val="24"/>
                <w:szCs w:val="24"/>
                <w:shd w:val="clear" w:color="auto" w:fill="FFFFFF"/>
              </w:rPr>
              <w:t>.</w:t>
            </w:r>
          </w:p>
        </w:tc>
      </w:tr>
      <w:tr w:rsidR="005F4E51" w14:paraId="6033D93F" w14:textId="77777777" w:rsidTr="005F4E51">
        <w:trPr>
          <w:jc w:val="center"/>
        </w:trPr>
        <w:tc>
          <w:tcPr>
            <w:tcW w:w="1701"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7AFC4C42" w14:textId="77777777" w:rsidR="005F4E51" w:rsidRPr="005F4E51" w:rsidRDefault="005F4E51">
            <w:pPr>
              <w:spacing w:line="252" w:lineRule="auto"/>
              <w:jc w:val="center"/>
              <w:rPr>
                <w:sz w:val="24"/>
                <w:szCs w:val="24"/>
              </w:rPr>
            </w:pPr>
            <w:r>
              <w:rPr>
                <w:sz w:val="24"/>
                <w:szCs w:val="24"/>
              </w:rPr>
              <w:t>2</w:t>
            </w:r>
          </w:p>
        </w:tc>
        <w:tc>
          <w:tcPr>
            <w:tcW w:w="7645" w:type="dxa"/>
            <w:tcBorders>
              <w:top w:val="nil"/>
              <w:left w:val="nil"/>
              <w:bottom w:val="single" w:sz="8" w:space="0" w:color="auto"/>
              <w:right w:val="single" w:sz="8" w:space="0" w:color="auto"/>
            </w:tcBorders>
            <w:tcMar>
              <w:top w:w="0" w:type="dxa"/>
              <w:left w:w="28" w:type="dxa"/>
              <w:bottom w:w="0" w:type="dxa"/>
              <w:right w:w="28" w:type="dxa"/>
            </w:tcMar>
          </w:tcPr>
          <w:p w14:paraId="3C067E9B" w14:textId="77777777" w:rsidR="005F4E51" w:rsidRPr="005F4E51" w:rsidRDefault="005F4E51" w:rsidP="005F4E51">
            <w:pPr>
              <w:spacing w:line="252" w:lineRule="auto"/>
              <w:jc w:val="both"/>
              <w:rPr>
                <w:sz w:val="24"/>
                <w:szCs w:val="24"/>
              </w:rPr>
            </w:pPr>
            <w:r>
              <w:rPr>
                <w:color w:val="000000"/>
                <w:sz w:val="24"/>
                <w:szCs w:val="24"/>
                <w:shd w:val="clear" w:color="auto" w:fill="FFFFFF"/>
              </w:rPr>
              <w:t>Н</w:t>
            </w:r>
            <w:r w:rsidRPr="005F4E51">
              <w:rPr>
                <w:color w:val="000000"/>
                <w:sz w:val="24"/>
                <w:szCs w:val="24"/>
                <w:shd w:val="clear" w:color="auto" w:fill="FFFFFF"/>
              </w:rPr>
              <w:t>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r>
              <w:rPr>
                <w:color w:val="000000"/>
                <w:sz w:val="24"/>
                <w:szCs w:val="24"/>
                <w:shd w:val="clear" w:color="auto" w:fill="FFFFFF"/>
              </w:rPr>
              <w:t>.</w:t>
            </w:r>
          </w:p>
        </w:tc>
      </w:tr>
      <w:tr w:rsidR="005F4E51" w:rsidRPr="005F4E51" w14:paraId="275C6BE9" w14:textId="77777777" w:rsidTr="005F4E51">
        <w:trPr>
          <w:jc w:val="center"/>
        </w:trPr>
        <w:tc>
          <w:tcPr>
            <w:tcW w:w="1701"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40223707" w14:textId="77777777" w:rsidR="005F4E51" w:rsidRPr="005F4E51" w:rsidRDefault="005F4E51" w:rsidP="00E148AE">
            <w:pPr>
              <w:spacing w:line="252" w:lineRule="auto"/>
              <w:jc w:val="center"/>
              <w:rPr>
                <w:sz w:val="24"/>
                <w:szCs w:val="24"/>
              </w:rPr>
            </w:pPr>
            <w:r>
              <w:rPr>
                <w:sz w:val="24"/>
                <w:szCs w:val="24"/>
              </w:rPr>
              <w:t>3</w:t>
            </w:r>
          </w:p>
        </w:tc>
        <w:tc>
          <w:tcPr>
            <w:tcW w:w="7645" w:type="dxa"/>
            <w:tcBorders>
              <w:top w:val="nil"/>
              <w:left w:val="nil"/>
              <w:bottom w:val="single" w:sz="8" w:space="0" w:color="auto"/>
              <w:right w:val="single" w:sz="8" w:space="0" w:color="auto"/>
            </w:tcBorders>
            <w:tcMar>
              <w:top w:w="0" w:type="dxa"/>
              <w:left w:w="28" w:type="dxa"/>
              <w:bottom w:w="0" w:type="dxa"/>
              <w:right w:w="28" w:type="dxa"/>
            </w:tcMar>
          </w:tcPr>
          <w:p w14:paraId="7BA5EC05" w14:textId="77777777" w:rsidR="005F4E51" w:rsidRPr="005F4E51" w:rsidRDefault="005F4E51" w:rsidP="005F4E51">
            <w:pPr>
              <w:spacing w:line="252" w:lineRule="auto"/>
              <w:jc w:val="both"/>
              <w:rPr>
                <w:sz w:val="24"/>
                <w:szCs w:val="24"/>
              </w:rPr>
            </w:pPr>
            <w:r>
              <w:rPr>
                <w:color w:val="000000"/>
                <w:sz w:val="24"/>
                <w:szCs w:val="24"/>
                <w:shd w:val="clear" w:color="auto" w:fill="FFFFFF"/>
              </w:rPr>
              <w:t>Н</w:t>
            </w:r>
            <w:r w:rsidRPr="005F4E51">
              <w:rPr>
                <w:color w:val="000000"/>
                <w:sz w:val="24"/>
                <w:szCs w:val="24"/>
                <w:shd w:val="clear" w:color="auto" w:fill="FFFFFF"/>
              </w:rPr>
              <w:t>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r>
              <w:rPr>
                <w:color w:val="000000"/>
                <w:sz w:val="24"/>
                <w:szCs w:val="24"/>
                <w:shd w:val="clear" w:color="auto" w:fill="FFFFFF"/>
              </w:rPr>
              <w:t>.</w:t>
            </w:r>
          </w:p>
        </w:tc>
      </w:tr>
      <w:tr w:rsidR="005F4E51" w:rsidRPr="005F4E51" w14:paraId="0AE7341B" w14:textId="77777777" w:rsidTr="005F4E51">
        <w:trPr>
          <w:jc w:val="center"/>
        </w:trPr>
        <w:tc>
          <w:tcPr>
            <w:tcW w:w="1701"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1FA4994C" w14:textId="77777777" w:rsidR="005F4E51" w:rsidRPr="005F4E51" w:rsidRDefault="005F4E51" w:rsidP="00E148AE">
            <w:pPr>
              <w:spacing w:line="252" w:lineRule="auto"/>
              <w:jc w:val="center"/>
              <w:rPr>
                <w:sz w:val="24"/>
                <w:szCs w:val="24"/>
              </w:rPr>
            </w:pPr>
            <w:r>
              <w:rPr>
                <w:sz w:val="24"/>
                <w:szCs w:val="24"/>
              </w:rPr>
              <w:t>4</w:t>
            </w:r>
          </w:p>
        </w:tc>
        <w:tc>
          <w:tcPr>
            <w:tcW w:w="7645" w:type="dxa"/>
            <w:tcBorders>
              <w:top w:val="nil"/>
              <w:left w:val="nil"/>
              <w:bottom w:val="single" w:sz="8" w:space="0" w:color="auto"/>
              <w:right w:val="single" w:sz="8" w:space="0" w:color="auto"/>
            </w:tcBorders>
            <w:tcMar>
              <w:top w:w="0" w:type="dxa"/>
              <w:left w:w="28" w:type="dxa"/>
              <w:bottom w:w="0" w:type="dxa"/>
              <w:right w:w="28" w:type="dxa"/>
            </w:tcMar>
          </w:tcPr>
          <w:p w14:paraId="0899AF50" w14:textId="77777777" w:rsidR="005F4E51" w:rsidRPr="005F4E51" w:rsidRDefault="005F4E51" w:rsidP="005F4E51">
            <w:pPr>
              <w:spacing w:line="252" w:lineRule="auto"/>
              <w:jc w:val="both"/>
              <w:rPr>
                <w:sz w:val="24"/>
                <w:szCs w:val="24"/>
              </w:rPr>
            </w:pPr>
            <w:r>
              <w:rPr>
                <w:color w:val="000000"/>
                <w:sz w:val="24"/>
                <w:szCs w:val="24"/>
                <w:shd w:val="clear" w:color="auto" w:fill="FFFFFF"/>
              </w:rPr>
              <w:t>Н</w:t>
            </w:r>
            <w:r w:rsidRPr="005F4E51">
              <w:rPr>
                <w:color w:val="000000"/>
                <w:sz w:val="24"/>
                <w:szCs w:val="24"/>
                <w:shd w:val="clear" w:color="auto" w:fill="FFFFFF"/>
              </w:rPr>
              <w:t>еисполнение или ненадлежащее исполнение потребителем условий договора, касающихся обеспечения функционирования устройств релейной защиты, сетевой, противоаварийной и режимной автоматики, устройств компенсации реактивной мощности</w:t>
            </w:r>
            <w:r>
              <w:rPr>
                <w:color w:val="000000"/>
                <w:sz w:val="24"/>
                <w:szCs w:val="24"/>
                <w:shd w:val="clear" w:color="auto" w:fill="FFFFFF"/>
              </w:rPr>
              <w:t>.</w:t>
            </w:r>
          </w:p>
        </w:tc>
      </w:tr>
      <w:tr w:rsidR="005F4E51" w:rsidRPr="005F4E51" w14:paraId="34CAD387" w14:textId="77777777" w:rsidTr="005F4E51">
        <w:trPr>
          <w:jc w:val="center"/>
        </w:trPr>
        <w:tc>
          <w:tcPr>
            <w:tcW w:w="1701"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62C6B172" w14:textId="77777777" w:rsidR="005F4E51" w:rsidRPr="005F4E51" w:rsidRDefault="005F4E51" w:rsidP="00E148AE">
            <w:pPr>
              <w:spacing w:line="252" w:lineRule="auto"/>
              <w:jc w:val="center"/>
              <w:rPr>
                <w:sz w:val="24"/>
                <w:szCs w:val="24"/>
              </w:rPr>
            </w:pPr>
            <w:r>
              <w:rPr>
                <w:sz w:val="24"/>
                <w:szCs w:val="24"/>
              </w:rPr>
              <w:t>5</w:t>
            </w:r>
          </w:p>
        </w:tc>
        <w:tc>
          <w:tcPr>
            <w:tcW w:w="7645" w:type="dxa"/>
            <w:tcBorders>
              <w:top w:val="nil"/>
              <w:left w:val="nil"/>
              <w:bottom w:val="single" w:sz="8" w:space="0" w:color="auto"/>
              <w:right w:val="single" w:sz="8" w:space="0" w:color="auto"/>
            </w:tcBorders>
            <w:tcMar>
              <w:top w:w="0" w:type="dxa"/>
              <w:left w:w="28" w:type="dxa"/>
              <w:bottom w:w="0" w:type="dxa"/>
              <w:right w:w="28" w:type="dxa"/>
            </w:tcMar>
          </w:tcPr>
          <w:p w14:paraId="7B9240BF" w14:textId="77777777" w:rsidR="005F4E51" w:rsidRPr="005F4E51" w:rsidRDefault="005F4E51" w:rsidP="005F4E51">
            <w:pPr>
              <w:spacing w:line="252" w:lineRule="auto"/>
              <w:jc w:val="both"/>
              <w:rPr>
                <w:sz w:val="24"/>
                <w:szCs w:val="24"/>
              </w:rPr>
            </w:pPr>
            <w:r>
              <w:rPr>
                <w:color w:val="000000"/>
                <w:sz w:val="24"/>
                <w:szCs w:val="24"/>
                <w:shd w:val="clear" w:color="auto" w:fill="FFFFFF"/>
              </w:rPr>
              <w:t>Н</w:t>
            </w:r>
            <w:r w:rsidRPr="005F4E51">
              <w:rPr>
                <w:color w:val="000000"/>
                <w:sz w:val="24"/>
                <w:szCs w:val="24"/>
                <w:shd w:val="clear" w:color="auto" w:fill="FFFFFF"/>
              </w:rPr>
              <w:t xml:space="preserve">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w:t>
            </w:r>
            <w:proofErr w:type="spellStart"/>
            <w:r w:rsidRPr="005F4E51">
              <w:rPr>
                <w:color w:val="000000"/>
                <w:sz w:val="24"/>
                <w:szCs w:val="24"/>
                <w:shd w:val="clear" w:color="auto" w:fill="FFFFFF"/>
              </w:rPr>
              <w:t>электропотребляющего</w:t>
            </w:r>
            <w:proofErr w:type="spellEnd"/>
            <w:r w:rsidRPr="005F4E51">
              <w:rPr>
                <w:color w:val="000000"/>
                <w:sz w:val="24"/>
                <w:szCs w:val="24"/>
                <w:shd w:val="clear" w:color="auto" w:fill="FFFFFF"/>
              </w:rPr>
              <w:t xml:space="preserve"> оборудования либо изменением потребителем режима работы подключенного </w:t>
            </w:r>
            <w:proofErr w:type="spellStart"/>
            <w:r w:rsidRPr="005F4E51">
              <w:rPr>
                <w:color w:val="000000"/>
                <w:sz w:val="24"/>
                <w:szCs w:val="24"/>
                <w:shd w:val="clear" w:color="auto" w:fill="FFFFFF"/>
              </w:rPr>
              <w:t>электропотребляющего</w:t>
            </w:r>
            <w:proofErr w:type="spellEnd"/>
            <w:r w:rsidRPr="005F4E51">
              <w:rPr>
                <w:color w:val="000000"/>
                <w:sz w:val="24"/>
                <w:szCs w:val="24"/>
                <w:shd w:val="clear" w:color="auto" w:fill="FFFFFF"/>
              </w:rPr>
              <w:t xml:space="preserve"> оборудования</w:t>
            </w:r>
            <w:r>
              <w:rPr>
                <w:color w:val="000000"/>
                <w:sz w:val="24"/>
                <w:szCs w:val="24"/>
                <w:shd w:val="clear" w:color="auto" w:fill="FFFFFF"/>
              </w:rPr>
              <w:t>.</w:t>
            </w:r>
          </w:p>
        </w:tc>
      </w:tr>
      <w:tr w:rsidR="005F4E51" w:rsidRPr="005F4E51" w14:paraId="03D4F4B0" w14:textId="77777777" w:rsidTr="005F4E51">
        <w:trPr>
          <w:jc w:val="center"/>
        </w:trPr>
        <w:tc>
          <w:tcPr>
            <w:tcW w:w="1701"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6421AA7F" w14:textId="77777777" w:rsidR="005F4E51" w:rsidRPr="005F4E51" w:rsidRDefault="005F4E51" w:rsidP="00E148AE">
            <w:pPr>
              <w:spacing w:line="252" w:lineRule="auto"/>
              <w:jc w:val="center"/>
              <w:rPr>
                <w:sz w:val="24"/>
                <w:szCs w:val="24"/>
              </w:rPr>
            </w:pPr>
            <w:r>
              <w:rPr>
                <w:sz w:val="24"/>
                <w:szCs w:val="24"/>
              </w:rPr>
              <w:t>6</w:t>
            </w:r>
          </w:p>
        </w:tc>
        <w:tc>
          <w:tcPr>
            <w:tcW w:w="7645" w:type="dxa"/>
            <w:tcBorders>
              <w:top w:val="nil"/>
              <w:left w:val="nil"/>
              <w:bottom w:val="single" w:sz="8" w:space="0" w:color="auto"/>
              <w:right w:val="single" w:sz="8" w:space="0" w:color="auto"/>
            </w:tcBorders>
            <w:tcMar>
              <w:top w:w="0" w:type="dxa"/>
              <w:left w:w="28" w:type="dxa"/>
              <w:bottom w:w="0" w:type="dxa"/>
              <w:right w:w="28" w:type="dxa"/>
            </w:tcMar>
          </w:tcPr>
          <w:p w14:paraId="7A96BCC6" w14:textId="77777777" w:rsidR="005F4E51" w:rsidRPr="005F4E51" w:rsidRDefault="005F4E51" w:rsidP="005F4E51">
            <w:pPr>
              <w:spacing w:line="252" w:lineRule="auto"/>
              <w:jc w:val="both"/>
              <w:rPr>
                <w:sz w:val="24"/>
                <w:szCs w:val="24"/>
              </w:rPr>
            </w:pPr>
            <w:r>
              <w:rPr>
                <w:color w:val="000000"/>
                <w:sz w:val="24"/>
                <w:szCs w:val="24"/>
                <w:shd w:val="clear" w:color="auto" w:fill="FFFFFF"/>
              </w:rPr>
              <w:t>В</w:t>
            </w:r>
            <w:r w:rsidRPr="005F4E51">
              <w:rPr>
                <w:color w:val="000000"/>
                <w:sz w:val="24"/>
                <w:szCs w:val="24"/>
                <w:shd w:val="clear" w:color="auto" w:fill="FFFFFF"/>
              </w:rPr>
              <w:t>озникновение у граждан, ведущих садоводство или огородничество на земельных участках, расположенных в границах территории садоводства или огородничества, задолженности по оплате электрической энергии по договору энергоснабжения 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 потребленной при использовании имущества общего пользования садоводческого или огороднического некоммерческого товарищества, и части потерь электрической энергии, возникших в объектах электросетевого хозяйства, принадлежащих садоводческому или огородническому некоммерческому товариществу</w:t>
            </w:r>
            <w:r>
              <w:rPr>
                <w:color w:val="000000"/>
                <w:sz w:val="24"/>
                <w:szCs w:val="24"/>
                <w:shd w:val="clear" w:color="auto" w:fill="FFFFFF"/>
              </w:rPr>
              <w:t>.</w:t>
            </w:r>
          </w:p>
        </w:tc>
      </w:tr>
      <w:tr w:rsidR="005F4E51" w:rsidRPr="005F4E51" w14:paraId="3DC6A4D4" w14:textId="77777777" w:rsidTr="005F4E51">
        <w:trPr>
          <w:jc w:val="center"/>
        </w:trPr>
        <w:tc>
          <w:tcPr>
            <w:tcW w:w="1701"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1BBBC80D" w14:textId="77777777" w:rsidR="005F4E51" w:rsidRPr="005F4E51" w:rsidRDefault="005F4E51" w:rsidP="00E148AE">
            <w:pPr>
              <w:spacing w:line="252" w:lineRule="auto"/>
              <w:jc w:val="center"/>
              <w:rPr>
                <w:sz w:val="24"/>
                <w:szCs w:val="24"/>
              </w:rPr>
            </w:pPr>
            <w:r>
              <w:rPr>
                <w:sz w:val="24"/>
                <w:szCs w:val="24"/>
              </w:rPr>
              <w:t>7</w:t>
            </w:r>
          </w:p>
        </w:tc>
        <w:tc>
          <w:tcPr>
            <w:tcW w:w="7645" w:type="dxa"/>
            <w:tcBorders>
              <w:top w:val="nil"/>
              <w:left w:val="nil"/>
              <w:bottom w:val="single" w:sz="8" w:space="0" w:color="auto"/>
              <w:right w:val="single" w:sz="8" w:space="0" w:color="auto"/>
            </w:tcBorders>
            <w:tcMar>
              <w:top w:w="0" w:type="dxa"/>
              <w:left w:w="28" w:type="dxa"/>
              <w:bottom w:w="0" w:type="dxa"/>
              <w:right w:w="28" w:type="dxa"/>
            </w:tcMar>
          </w:tcPr>
          <w:p w14:paraId="0DF65279" w14:textId="77777777" w:rsidR="005F4E51" w:rsidRPr="005F4E51" w:rsidRDefault="005F4E51" w:rsidP="005F4E51">
            <w:pPr>
              <w:spacing w:line="252" w:lineRule="auto"/>
              <w:jc w:val="both"/>
              <w:rPr>
                <w:sz w:val="24"/>
                <w:szCs w:val="24"/>
              </w:rPr>
            </w:pPr>
            <w:r>
              <w:rPr>
                <w:color w:val="000000"/>
                <w:sz w:val="24"/>
                <w:szCs w:val="24"/>
                <w:shd w:val="clear" w:color="auto" w:fill="FFFFFF"/>
              </w:rPr>
              <w:t>П</w:t>
            </w:r>
            <w:r w:rsidRPr="005F4E51">
              <w:rPr>
                <w:color w:val="000000"/>
                <w:sz w:val="24"/>
                <w:szCs w:val="24"/>
                <w:shd w:val="clear" w:color="auto" w:fill="FFFFFF"/>
              </w:rPr>
              <w:t xml:space="preserve">рекращение обязательств по поставке электрической энергии (мощности) по договору энергоснабжения (купли-продажи (поставки) </w:t>
            </w:r>
            <w:r w:rsidRPr="005F4E51">
              <w:rPr>
                <w:color w:val="000000"/>
                <w:sz w:val="24"/>
                <w:szCs w:val="24"/>
                <w:shd w:val="clear" w:color="auto" w:fill="FFFFFF"/>
              </w:rPr>
              <w:lastRenderedPageBreak/>
              <w:t>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w:t>
            </w:r>
            <w:r>
              <w:rPr>
                <w:color w:val="000000"/>
                <w:sz w:val="24"/>
                <w:szCs w:val="24"/>
                <w:shd w:val="clear" w:color="auto" w:fill="FFFFFF"/>
              </w:rPr>
              <w:t>.</w:t>
            </w:r>
          </w:p>
        </w:tc>
      </w:tr>
      <w:tr w:rsidR="005F4E51" w:rsidRPr="005F4E51" w14:paraId="41909F5E" w14:textId="77777777" w:rsidTr="005F4E51">
        <w:trPr>
          <w:jc w:val="center"/>
        </w:trPr>
        <w:tc>
          <w:tcPr>
            <w:tcW w:w="1701"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8AE2DB0" w14:textId="77777777" w:rsidR="005F4E51" w:rsidRPr="005F4E51" w:rsidRDefault="005F4E51" w:rsidP="00E148AE">
            <w:pPr>
              <w:spacing w:line="252" w:lineRule="auto"/>
              <w:jc w:val="center"/>
              <w:rPr>
                <w:sz w:val="24"/>
                <w:szCs w:val="24"/>
              </w:rPr>
            </w:pPr>
            <w:r>
              <w:rPr>
                <w:sz w:val="24"/>
                <w:szCs w:val="24"/>
              </w:rPr>
              <w:lastRenderedPageBreak/>
              <w:t>8</w:t>
            </w:r>
          </w:p>
        </w:tc>
        <w:tc>
          <w:tcPr>
            <w:tcW w:w="7645" w:type="dxa"/>
            <w:tcBorders>
              <w:top w:val="nil"/>
              <w:left w:val="nil"/>
              <w:bottom w:val="single" w:sz="8" w:space="0" w:color="auto"/>
              <w:right w:val="single" w:sz="8" w:space="0" w:color="auto"/>
            </w:tcBorders>
            <w:tcMar>
              <w:top w:w="0" w:type="dxa"/>
              <w:left w:w="28" w:type="dxa"/>
              <w:bottom w:w="0" w:type="dxa"/>
              <w:right w:w="28" w:type="dxa"/>
            </w:tcMar>
          </w:tcPr>
          <w:p w14:paraId="1D1B7628" w14:textId="77777777" w:rsidR="005F4E51" w:rsidRPr="005F4E51" w:rsidRDefault="005F4E51" w:rsidP="005F4E51">
            <w:pPr>
              <w:spacing w:line="252" w:lineRule="auto"/>
              <w:jc w:val="both"/>
              <w:rPr>
                <w:sz w:val="24"/>
                <w:szCs w:val="24"/>
              </w:rPr>
            </w:pPr>
            <w:r>
              <w:rPr>
                <w:color w:val="000000"/>
                <w:sz w:val="24"/>
                <w:szCs w:val="24"/>
                <w:shd w:val="clear" w:color="auto" w:fill="FFFFFF"/>
              </w:rPr>
              <w:t>В</w:t>
            </w:r>
            <w:r w:rsidRPr="005F4E51">
              <w:rPr>
                <w:color w:val="000000"/>
                <w:sz w:val="24"/>
                <w:szCs w:val="24"/>
                <w:shd w:val="clear" w:color="auto" w:fill="FFFFFF"/>
              </w:rPr>
              <w:t>ыявление факта бездоговорного потребления электрической энергии</w:t>
            </w:r>
            <w:r>
              <w:rPr>
                <w:color w:val="000000"/>
                <w:sz w:val="24"/>
                <w:szCs w:val="24"/>
                <w:shd w:val="clear" w:color="auto" w:fill="FFFFFF"/>
              </w:rPr>
              <w:t>.</w:t>
            </w:r>
          </w:p>
        </w:tc>
      </w:tr>
      <w:tr w:rsidR="005F4E51" w:rsidRPr="005F4E51" w14:paraId="7C43D534" w14:textId="77777777" w:rsidTr="005F4E51">
        <w:trPr>
          <w:jc w:val="center"/>
        </w:trPr>
        <w:tc>
          <w:tcPr>
            <w:tcW w:w="1701"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643EB3E2" w14:textId="77777777" w:rsidR="005F4E51" w:rsidRPr="005F4E51" w:rsidRDefault="005F4E51" w:rsidP="00E148AE">
            <w:pPr>
              <w:spacing w:line="252" w:lineRule="auto"/>
              <w:jc w:val="center"/>
              <w:rPr>
                <w:sz w:val="24"/>
                <w:szCs w:val="24"/>
              </w:rPr>
            </w:pPr>
            <w:r>
              <w:rPr>
                <w:sz w:val="24"/>
                <w:szCs w:val="24"/>
              </w:rPr>
              <w:t>9</w:t>
            </w:r>
          </w:p>
        </w:tc>
        <w:tc>
          <w:tcPr>
            <w:tcW w:w="7645" w:type="dxa"/>
            <w:tcBorders>
              <w:top w:val="nil"/>
              <w:left w:val="nil"/>
              <w:bottom w:val="single" w:sz="8" w:space="0" w:color="auto"/>
              <w:right w:val="single" w:sz="8" w:space="0" w:color="auto"/>
            </w:tcBorders>
            <w:tcMar>
              <w:top w:w="0" w:type="dxa"/>
              <w:left w:w="28" w:type="dxa"/>
              <w:bottom w:w="0" w:type="dxa"/>
              <w:right w:w="28" w:type="dxa"/>
            </w:tcMar>
          </w:tcPr>
          <w:p w14:paraId="5487E407" w14:textId="77777777" w:rsidR="005F4E51" w:rsidRPr="005F4E51" w:rsidRDefault="005F4E51" w:rsidP="005F4E51">
            <w:pPr>
              <w:spacing w:line="252" w:lineRule="auto"/>
              <w:jc w:val="both"/>
              <w:rPr>
                <w:sz w:val="24"/>
                <w:szCs w:val="24"/>
              </w:rPr>
            </w:pPr>
            <w:r>
              <w:rPr>
                <w:color w:val="000000"/>
                <w:sz w:val="24"/>
                <w:szCs w:val="24"/>
                <w:shd w:val="clear" w:color="auto" w:fill="FFFFFF"/>
              </w:rPr>
              <w:t>В</w:t>
            </w:r>
            <w:r w:rsidRPr="005F4E51">
              <w:rPr>
                <w:color w:val="000000"/>
                <w:sz w:val="24"/>
                <w:szCs w:val="24"/>
                <w:shd w:val="clear" w:color="auto" w:fill="FFFFFF"/>
              </w:rPr>
              <w:t xml:space="preserve">ыявление ненадлежащего технологического присоединения энергопринимающих устройств потребителя, которое установлено гарантирующим поставщиком, </w:t>
            </w:r>
            <w:r w:rsidRPr="005F4E51">
              <w:rPr>
                <w:color w:val="000000" w:themeColor="text1"/>
                <w:sz w:val="24"/>
                <w:szCs w:val="24"/>
                <w:shd w:val="clear" w:color="auto" w:fill="FFFFFF"/>
              </w:rPr>
              <w:t>заключившим с этим потребителем в случаях,</w:t>
            </w:r>
            <w:r>
              <w:rPr>
                <w:color w:val="000000" w:themeColor="text1"/>
                <w:sz w:val="24"/>
                <w:szCs w:val="24"/>
                <w:shd w:val="clear" w:color="auto" w:fill="FFFFFF"/>
              </w:rPr>
              <w:t xml:space="preserve"> </w:t>
            </w:r>
            <w:r w:rsidRPr="005F4E51">
              <w:rPr>
                <w:color w:val="000000" w:themeColor="text1"/>
                <w:sz w:val="24"/>
                <w:szCs w:val="24"/>
                <w:shd w:val="clear" w:color="auto" w:fill="FFFFFF"/>
              </w:rPr>
              <w:t>предусмотренных </w:t>
            </w:r>
            <w:hyperlink r:id="rId4" w:history="1">
              <w:r>
                <w:rPr>
                  <w:rStyle w:val="a3"/>
                  <w:color w:val="000000" w:themeColor="text1"/>
                  <w:sz w:val="24"/>
                  <w:szCs w:val="24"/>
                  <w:u w:val="none"/>
                  <w:shd w:val="clear" w:color="auto" w:fill="FFFFFF"/>
                </w:rPr>
                <w:t xml:space="preserve">Основными </w:t>
              </w:r>
              <w:r w:rsidRPr="005F4E51">
                <w:rPr>
                  <w:rStyle w:val="a3"/>
                  <w:color w:val="000000" w:themeColor="text1"/>
                  <w:sz w:val="24"/>
                  <w:szCs w:val="24"/>
                  <w:u w:val="none"/>
                  <w:shd w:val="clear" w:color="auto" w:fill="FFFFFF"/>
                </w:rPr>
                <w:t>положениями</w:t>
              </w:r>
            </w:hyperlink>
            <w:r w:rsidRPr="005F4E51">
              <w:rPr>
                <w:color w:val="000000" w:themeColor="text1"/>
                <w:sz w:val="24"/>
                <w:szCs w:val="24"/>
                <w:shd w:val="clear" w:color="auto" w:fill="FFFFFF"/>
              </w:rPr>
              <w:t xml:space="preserve"> функционирования </w:t>
            </w:r>
            <w:r w:rsidRPr="005F4E51">
              <w:rPr>
                <w:color w:val="000000"/>
                <w:sz w:val="24"/>
                <w:szCs w:val="24"/>
                <w:shd w:val="clear" w:color="auto" w:fill="FFFFFF"/>
              </w:rPr>
              <w:t>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w:t>
            </w:r>
            <w:r>
              <w:rPr>
                <w:color w:val="000000"/>
                <w:sz w:val="24"/>
                <w:szCs w:val="24"/>
                <w:shd w:val="clear" w:color="auto" w:fill="FFFFFF"/>
              </w:rPr>
              <w:t>требления электрической энергии"</w:t>
            </w:r>
            <w:r w:rsidRPr="005F4E51">
              <w:rPr>
                <w:color w:val="000000"/>
                <w:sz w:val="24"/>
                <w:szCs w:val="24"/>
                <w:shd w:val="clear" w:color="auto" w:fill="FFFFFF"/>
              </w:rPr>
              <w:t>,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r>
              <w:rPr>
                <w:color w:val="000000"/>
                <w:sz w:val="24"/>
                <w:szCs w:val="24"/>
                <w:shd w:val="clear" w:color="auto" w:fill="FFFFFF"/>
              </w:rPr>
              <w:t>.</w:t>
            </w:r>
          </w:p>
        </w:tc>
      </w:tr>
      <w:tr w:rsidR="005F4E51" w:rsidRPr="005F4E51" w14:paraId="009A981C" w14:textId="77777777" w:rsidTr="005F4E51">
        <w:trPr>
          <w:jc w:val="center"/>
        </w:trPr>
        <w:tc>
          <w:tcPr>
            <w:tcW w:w="1701"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15724F9" w14:textId="77777777" w:rsidR="005F4E51" w:rsidRPr="005F4E51" w:rsidRDefault="005F4E51" w:rsidP="00E148AE">
            <w:pPr>
              <w:spacing w:line="252" w:lineRule="auto"/>
              <w:jc w:val="center"/>
              <w:rPr>
                <w:sz w:val="24"/>
                <w:szCs w:val="24"/>
              </w:rPr>
            </w:pPr>
            <w:r>
              <w:rPr>
                <w:sz w:val="24"/>
                <w:szCs w:val="24"/>
              </w:rPr>
              <w:t>10</w:t>
            </w:r>
          </w:p>
        </w:tc>
        <w:tc>
          <w:tcPr>
            <w:tcW w:w="7645" w:type="dxa"/>
            <w:tcBorders>
              <w:top w:val="nil"/>
              <w:left w:val="nil"/>
              <w:bottom w:val="single" w:sz="8" w:space="0" w:color="auto"/>
              <w:right w:val="single" w:sz="8" w:space="0" w:color="auto"/>
            </w:tcBorders>
            <w:tcMar>
              <w:top w:w="0" w:type="dxa"/>
              <w:left w:w="28" w:type="dxa"/>
              <w:bottom w:w="0" w:type="dxa"/>
              <w:right w:w="28" w:type="dxa"/>
            </w:tcMar>
          </w:tcPr>
          <w:p w14:paraId="173252AE" w14:textId="77777777" w:rsidR="005F4E51" w:rsidRPr="005F4E51" w:rsidRDefault="005F4E51" w:rsidP="005F4E51">
            <w:pPr>
              <w:spacing w:line="252" w:lineRule="auto"/>
              <w:jc w:val="both"/>
              <w:rPr>
                <w:sz w:val="24"/>
                <w:szCs w:val="24"/>
              </w:rPr>
            </w:pPr>
            <w:r>
              <w:rPr>
                <w:color w:val="000000"/>
                <w:sz w:val="24"/>
                <w:szCs w:val="24"/>
                <w:shd w:val="clear" w:color="auto" w:fill="FFFFFF"/>
              </w:rPr>
              <w:t>П</w:t>
            </w:r>
            <w:r w:rsidRPr="005F4E51">
              <w:rPr>
                <w:color w:val="000000"/>
                <w:sz w:val="24"/>
                <w:szCs w:val="24"/>
                <w:shd w:val="clear" w:color="auto" w:fill="FFFFFF"/>
              </w:rPr>
              <w:t>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r>
              <w:rPr>
                <w:color w:val="000000"/>
                <w:sz w:val="24"/>
                <w:szCs w:val="24"/>
                <w:shd w:val="clear" w:color="auto" w:fill="FFFFFF"/>
              </w:rPr>
              <w:t>.</w:t>
            </w:r>
          </w:p>
        </w:tc>
      </w:tr>
      <w:tr w:rsidR="005F4E51" w:rsidRPr="005F4E51" w14:paraId="61CE9E93" w14:textId="77777777" w:rsidTr="005F4E51">
        <w:trPr>
          <w:jc w:val="center"/>
        </w:trPr>
        <w:tc>
          <w:tcPr>
            <w:tcW w:w="1701"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45CA14CE" w14:textId="77777777" w:rsidR="005F4E51" w:rsidRPr="005F4E51" w:rsidRDefault="005F4E51" w:rsidP="00E148AE">
            <w:pPr>
              <w:spacing w:line="252" w:lineRule="auto"/>
              <w:jc w:val="center"/>
              <w:rPr>
                <w:sz w:val="24"/>
                <w:szCs w:val="24"/>
              </w:rPr>
            </w:pPr>
            <w:r>
              <w:rPr>
                <w:sz w:val="24"/>
                <w:szCs w:val="24"/>
              </w:rPr>
              <w:t>11</w:t>
            </w:r>
          </w:p>
        </w:tc>
        <w:tc>
          <w:tcPr>
            <w:tcW w:w="7645" w:type="dxa"/>
            <w:tcBorders>
              <w:top w:val="nil"/>
              <w:left w:val="nil"/>
              <w:bottom w:val="single" w:sz="8" w:space="0" w:color="auto"/>
              <w:right w:val="single" w:sz="8" w:space="0" w:color="auto"/>
            </w:tcBorders>
            <w:tcMar>
              <w:top w:w="0" w:type="dxa"/>
              <w:left w:w="28" w:type="dxa"/>
              <w:bottom w:w="0" w:type="dxa"/>
              <w:right w:w="28" w:type="dxa"/>
            </w:tcMar>
          </w:tcPr>
          <w:p w14:paraId="748D0A3C" w14:textId="77777777" w:rsidR="005F4E51" w:rsidRPr="005F4E51" w:rsidRDefault="005F4E51" w:rsidP="005F4E51">
            <w:pPr>
              <w:spacing w:line="252" w:lineRule="auto"/>
              <w:jc w:val="both"/>
              <w:rPr>
                <w:sz w:val="24"/>
                <w:szCs w:val="24"/>
              </w:rPr>
            </w:pPr>
            <w:r>
              <w:rPr>
                <w:color w:val="000000"/>
                <w:sz w:val="24"/>
                <w:szCs w:val="24"/>
                <w:shd w:val="clear" w:color="auto" w:fill="FFFFFF"/>
              </w:rPr>
              <w:t>О</w:t>
            </w:r>
            <w:r w:rsidRPr="005F4E51">
              <w:rPr>
                <w:color w:val="000000"/>
                <w:sz w:val="24"/>
                <w:szCs w:val="24"/>
                <w:shd w:val="clear" w:color="auto" w:fill="FFFFFF"/>
              </w:rPr>
              <w:t>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tc>
      </w:tr>
      <w:tr w:rsidR="005F4E51" w:rsidRPr="005F4E51" w14:paraId="4D8C67BF" w14:textId="77777777" w:rsidTr="005F4E51">
        <w:trPr>
          <w:jc w:val="center"/>
        </w:trPr>
        <w:tc>
          <w:tcPr>
            <w:tcW w:w="1701"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4EA65421" w14:textId="77777777" w:rsidR="005F4E51" w:rsidRPr="005F4E51" w:rsidRDefault="005F4E51" w:rsidP="00E148AE">
            <w:pPr>
              <w:spacing w:line="252" w:lineRule="auto"/>
              <w:jc w:val="center"/>
              <w:rPr>
                <w:sz w:val="24"/>
                <w:szCs w:val="24"/>
              </w:rPr>
            </w:pPr>
            <w:r>
              <w:rPr>
                <w:sz w:val="24"/>
                <w:szCs w:val="24"/>
              </w:rPr>
              <w:t>12</w:t>
            </w:r>
          </w:p>
        </w:tc>
        <w:tc>
          <w:tcPr>
            <w:tcW w:w="7645" w:type="dxa"/>
            <w:tcBorders>
              <w:top w:val="nil"/>
              <w:left w:val="nil"/>
              <w:bottom w:val="single" w:sz="8" w:space="0" w:color="auto"/>
              <w:right w:val="single" w:sz="8" w:space="0" w:color="auto"/>
            </w:tcBorders>
            <w:tcMar>
              <w:top w:w="0" w:type="dxa"/>
              <w:left w:w="28" w:type="dxa"/>
              <w:bottom w:w="0" w:type="dxa"/>
              <w:right w:w="28" w:type="dxa"/>
            </w:tcMar>
          </w:tcPr>
          <w:p w14:paraId="5DF650F3" w14:textId="77777777" w:rsidR="005F4E51" w:rsidRPr="005F4E51" w:rsidRDefault="005F4E51" w:rsidP="005F4E51">
            <w:pPr>
              <w:spacing w:line="252" w:lineRule="auto"/>
              <w:jc w:val="both"/>
              <w:rPr>
                <w:sz w:val="24"/>
                <w:szCs w:val="24"/>
              </w:rPr>
            </w:pPr>
            <w:r>
              <w:rPr>
                <w:color w:val="000000"/>
                <w:sz w:val="24"/>
                <w:szCs w:val="24"/>
                <w:shd w:val="clear" w:color="auto" w:fill="FFFFFF"/>
              </w:rPr>
              <w:t>В</w:t>
            </w:r>
            <w:r w:rsidRPr="005F4E51">
              <w:rPr>
                <w:color w:val="000000"/>
                <w:sz w:val="24"/>
                <w:szCs w:val="24"/>
                <w:shd w:val="clear" w:color="auto" w:fill="FFFFFF"/>
              </w:rPr>
              <w:t>озникновение (угроза возникновения) аварийных электроэнергетических режимов</w:t>
            </w:r>
            <w:r>
              <w:rPr>
                <w:color w:val="000000"/>
                <w:sz w:val="24"/>
                <w:szCs w:val="24"/>
                <w:shd w:val="clear" w:color="auto" w:fill="FFFFFF"/>
              </w:rPr>
              <w:t>.</w:t>
            </w:r>
          </w:p>
        </w:tc>
      </w:tr>
      <w:tr w:rsidR="005F4E51" w:rsidRPr="005F4E51" w14:paraId="18766550" w14:textId="77777777" w:rsidTr="005F4E51">
        <w:trPr>
          <w:jc w:val="center"/>
        </w:trPr>
        <w:tc>
          <w:tcPr>
            <w:tcW w:w="1701"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1E74F2B0" w14:textId="77777777" w:rsidR="005F4E51" w:rsidRPr="005F4E51" w:rsidRDefault="005F4E51" w:rsidP="00E148AE">
            <w:pPr>
              <w:spacing w:line="252" w:lineRule="auto"/>
              <w:jc w:val="center"/>
              <w:rPr>
                <w:sz w:val="24"/>
                <w:szCs w:val="24"/>
              </w:rPr>
            </w:pPr>
            <w:r>
              <w:rPr>
                <w:sz w:val="24"/>
                <w:szCs w:val="24"/>
              </w:rPr>
              <w:t>13</w:t>
            </w:r>
          </w:p>
        </w:tc>
        <w:tc>
          <w:tcPr>
            <w:tcW w:w="7645" w:type="dxa"/>
            <w:tcBorders>
              <w:top w:val="nil"/>
              <w:left w:val="nil"/>
              <w:bottom w:val="single" w:sz="8" w:space="0" w:color="auto"/>
              <w:right w:val="single" w:sz="8" w:space="0" w:color="auto"/>
            </w:tcBorders>
            <w:tcMar>
              <w:top w:w="0" w:type="dxa"/>
              <w:left w:w="28" w:type="dxa"/>
              <w:bottom w:w="0" w:type="dxa"/>
              <w:right w:w="28" w:type="dxa"/>
            </w:tcMar>
          </w:tcPr>
          <w:p w14:paraId="078F1DC9" w14:textId="77777777" w:rsidR="005F4E51" w:rsidRPr="005F4E51" w:rsidRDefault="005F4E51" w:rsidP="005F4E51">
            <w:pPr>
              <w:spacing w:line="252" w:lineRule="auto"/>
              <w:jc w:val="both"/>
              <w:rPr>
                <w:sz w:val="24"/>
                <w:szCs w:val="24"/>
              </w:rPr>
            </w:pPr>
            <w:r>
              <w:rPr>
                <w:color w:val="000000"/>
                <w:sz w:val="24"/>
                <w:szCs w:val="24"/>
                <w:shd w:val="clear" w:color="auto" w:fill="FFFFFF"/>
              </w:rPr>
              <w:t>П</w:t>
            </w:r>
            <w:r w:rsidRPr="005F4E51">
              <w:rPr>
                <w:color w:val="000000"/>
                <w:sz w:val="24"/>
                <w:szCs w:val="24"/>
                <w:shd w:val="clear" w:color="auto" w:fill="FFFFFF"/>
              </w:rPr>
              <w:t>риостановление функционирования объекта электроэнергетики в качестве меры, обусловленной развитием чрезвычайной ситуации и направленной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w:t>
            </w:r>
            <w:r>
              <w:rPr>
                <w:color w:val="000000"/>
                <w:sz w:val="24"/>
                <w:szCs w:val="24"/>
                <w:shd w:val="clear" w:color="auto" w:fill="FFFFFF"/>
              </w:rPr>
              <w:t>.</w:t>
            </w:r>
          </w:p>
        </w:tc>
      </w:tr>
      <w:tr w:rsidR="005F4E51" w:rsidRPr="005F4E51" w14:paraId="55B247A4" w14:textId="77777777" w:rsidTr="005F4E51">
        <w:trPr>
          <w:jc w:val="center"/>
        </w:trPr>
        <w:tc>
          <w:tcPr>
            <w:tcW w:w="1701"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111977DF" w14:textId="77777777" w:rsidR="005F4E51" w:rsidRPr="005F4E51" w:rsidRDefault="005F4E51" w:rsidP="00E148AE">
            <w:pPr>
              <w:spacing w:line="252" w:lineRule="auto"/>
              <w:jc w:val="center"/>
              <w:rPr>
                <w:sz w:val="24"/>
                <w:szCs w:val="24"/>
              </w:rPr>
            </w:pPr>
            <w:r>
              <w:rPr>
                <w:sz w:val="24"/>
                <w:szCs w:val="24"/>
              </w:rPr>
              <w:t>14</w:t>
            </w:r>
          </w:p>
        </w:tc>
        <w:tc>
          <w:tcPr>
            <w:tcW w:w="7645" w:type="dxa"/>
            <w:tcBorders>
              <w:top w:val="nil"/>
              <w:left w:val="nil"/>
              <w:bottom w:val="single" w:sz="8" w:space="0" w:color="auto"/>
              <w:right w:val="single" w:sz="8" w:space="0" w:color="auto"/>
            </w:tcBorders>
            <w:tcMar>
              <w:top w:w="0" w:type="dxa"/>
              <w:left w:w="28" w:type="dxa"/>
              <w:bottom w:w="0" w:type="dxa"/>
              <w:right w:w="28" w:type="dxa"/>
            </w:tcMar>
          </w:tcPr>
          <w:p w14:paraId="19185645" w14:textId="77777777" w:rsidR="005F4E51" w:rsidRPr="005F4E51" w:rsidRDefault="005F4E51" w:rsidP="005F4E51">
            <w:pPr>
              <w:spacing w:line="252" w:lineRule="auto"/>
              <w:jc w:val="both"/>
              <w:rPr>
                <w:sz w:val="24"/>
                <w:szCs w:val="24"/>
              </w:rPr>
            </w:pPr>
            <w:r>
              <w:rPr>
                <w:color w:val="000000"/>
                <w:sz w:val="24"/>
                <w:szCs w:val="24"/>
                <w:shd w:val="clear" w:color="auto" w:fill="FFFFFF"/>
              </w:rPr>
              <w:t>Н</w:t>
            </w:r>
            <w:r w:rsidRPr="005F4E51">
              <w:rPr>
                <w:color w:val="000000"/>
                <w:sz w:val="24"/>
                <w:szCs w:val="24"/>
                <w:shd w:val="clear" w:color="auto" w:fill="FFFFFF"/>
              </w:rPr>
              <w:t>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r>
              <w:rPr>
                <w:color w:val="000000"/>
                <w:sz w:val="24"/>
                <w:szCs w:val="24"/>
                <w:shd w:val="clear" w:color="auto" w:fill="FFFFFF"/>
              </w:rPr>
              <w:t>.</w:t>
            </w:r>
          </w:p>
        </w:tc>
      </w:tr>
    </w:tbl>
    <w:p w14:paraId="33734FB9" w14:textId="77777777" w:rsidR="001F55C7" w:rsidRDefault="001F55C7"/>
    <w:p w14:paraId="69C62A52" w14:textId="77777777" w:rsidR="005F4E51" w:rsidRDefault="005F4E51"/>
    <w:p w14:paraId="72527BE1" w14:textId="77777777" w:rsidR="005F4E51" w:rsidRDefault="005F4E51"/>
    <w:p w14:paraId="61675CC0" w14:textId="77777777" w:rsidR="005F4E51" w:rsidRDefault="005F4E51"/>
    <w:p w14:paraId="555E0EE3" w14:textId="77777777" w:rsidR="005F4E51" w:rsidRDefault="005F4E51"/>
    <w:p w14:paraId="146DEBD7" w14:textId="77777777" w:rsidR="005F4E51" w:rsidRDefault="005F4E51"/>
    <w:p w14:paraId="57FD549F" w14:textId="77777777" w:rsidR="005F4E51" w:rsidRDefault="005F4E51"/>
    <w:p w14:paraId="2CA43679" w14:textId="77777777" w:rsidR="005F4E51" w:rsidRDefault="005F4E51"/>
    <w:p w14:paraId="32CA8A36" w14:textId="77777777" w:rsidR="004477BC" w:rsidRDefault="00922A91" w:rsidP="0075424F">
      <w:pPr>
        <w:spacing w:after="240"/>
        <w:jc w:val="center"/>
        <w:rPr>
          <w:b/>
          <w:bCs/>
          <w:sz w:val="26"/>
          <w:szCs w:val="26"/>
        </w:rPr>
      </w:pPr>
      <w:r>
        <w:rPr>
          <w:b/>
          <w:bCs/>
          <w:sz w:val="26"/>
          <w:szCs w:val="26"/>
        </w:rPr>
        <w:lastRenderedPageBreak/>
        <w:t xml:space="preserve"> Основания</w:t>
      </w:r>
      <w:r w:rsidR="005F4E51">
        <w:rPr>
          <w:b/>
          <w:bCs/>
          <w:sz w:val="26"/>
          <w:szCs w:val="26"/>
        </w:rPr>
        <w:t xml:space="preserve"> для введения</w:t>
      </w:r>
      <w:r w:rsidR="005F4E51">
        <w:rPr>
          <w:b/>
          <w:bCs/>
          <w:sz w:val="26"/>
          <w:szCs w:val="26"/>
        </w:rPr>
        <w:br/>
      </w:r>
      <w:r w:rsidR="004477BC">
        <w:rPr>
          <w:b/>
          <w:bCs/>
          <w:sz w:val="26"/>
          <w:szCs w:val="26"/>
        </w:rPr>
        <w:t>ограничения и (или) приостановления предоставления коммунальной услуги по электроснабжению</w:t>
      </w:r>
    </w:p>
    <w:tbl>
      <w:tblPr>
        <w:tblW w:w="9346" w:type="dxa"/>
        <w:jc w:val="center"/>
        <w:tblCellMar>
          <w:left w:w="0" w:type="dxa"/>
          <w:right w:w="0" w:type="dxa"/>
        </w:tblCellMar>
        <w:tblLook w:val="04A0" w:firstRow="1" w:lastRow="0" w:firstColumn="1" w:lastColumn="0" w:noHBand="0" w:noVBand="1"/>
      </w:tblPr>
      <w:tblGrid>
        <w:gridCol w:w="1550"/>
        <w:gridCol w:w="7796"/>
      </w:tblGrid>
      <w:tr w:rsidR="004477BC" w14:paraId="416C7269" w14:textId="77777777" w:rsidTr="00182AC9">
        <w:trPr>
          <w:jc w:val="center"/>
        </w:trPr>
        <w:tc>
          <w:tcPr>
            <w:tcW w:w="15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1F2513AF" w14:textId="77777777" w:rsidR="004477BC" w:rsidRDefault="004477BC" w:rsidP="00E148AE">
            <w:pPr>
              <w:spacing w:line="252" w:lineRule="auto"/>
              <w:jc w:val="center"/>
              <w:rPr>
                <w:sz w:val="24"/>
                <w:szCs w:val="24"/>
                <w:lang w:val="en-US"/>
              </w:rPr>
            </w:pPr>
            <w:r>
              <w:rPr>
                <w:sz w:val="24"/>
                <w:szCs w:val="24"/>
                <w:lang w:val="en-US"/>
              </w:rPr>
              <w:t>№</w:t>
            </w:r>
            <w:r>
              <w:rPr>
                <w:sz w:val="24"/>
                <w:szCs w:val="24"/>
                <w:lang w:val="en-US"/>
              </w:rPr>
              <w:br/>
              <w:t>п/п</w:t>
            </w:r>
          </w:p>
        </w:tc>
        <w:tc>
          <w:tcPr>
            <w:tcW w:w="7796" w:type="dxa"/>
            <w:tcBorders>
              <w:top w:val="single" w:sz="8" w:space="0" w:color="auto"/>
              <w:left w:val="nil"/>
              <w:bottom w:val="single" w:sz="8" w:space="0" w:color="auto"/>
              <w:right w:val="single" w:sz="8" w:space="0" w:color="auto"/>
            </w:tcBorders>
            <w:tcMar>
              <w:top w:w="0" w:type="dxa"/>
              <w:left w:w="28" w:type="dxa"/>
              <w:bottom w:w="0" w:type="dxa"/>
              <w:right w:w="28" w:type="dxa"/>
            </w:tcMar>
            <w:hideMark/>
          </w:tcPr>
          <w:p w14:paraId="6C70E0C9" w14:textId="77777777" w:rsidR="004477BC" w:rsidRDefault="004477BC" w:rsidP="00E148AE">
            <w:pPr>
              <w:spacing w:line="252" w:lineRule="auto"/>
              <w:jc w:val="center"/>
              <w:rPr>
                <w:sz w:val="24"/>
                <w:szCs w:val="24"/>
              </w:rPr>
            </w:pPr>
            <w:r>
              <w:rPr>
                <w:sz w:val="24"/>
                <w:szCs w:val="24"/>
              </w:rPr>
              <w:t xml:space="preserve">Основания для введения </w:t>
            </w:r>
            <w:r w:rsidRPr="004477BC">
              <w:rPr>
                <w:bCs/>
                <w:sz w:val="24"/>
                <w:szCs w:val="24"/>
              </w:rPr>
              <w:t>ограничения и (или) приостановления предоставления коммунальной услуги по электроснабжению</w:t>
            </w:r>
          </w:p>
        </w:tc>
      </w:tr>
      <w:tr w:rsidR="004477BC" w:rsidRPr="005F4E51" w14:paraId="34B1AD31" w14:textId="77777777" w:rsidTr="00182AC9">
        <w:trPr>
          <w:jc w:val="center"/>
        </w:trPr>
        <w:tc>
          <w:tcPr>
            <w:tcW w:w="1550" w:type="dxa"/>
            <w:tcBorders>
              <w:top w:val="nil"/>
              <w:left w:val="single" w:sz="8" w:space="0" w:color="auto"/>
              <w:bottom w:val="single" w:sz="8" w:space="0" w:color="auto"/>
              <w:right w:val="single" w:sz="8" w:space="0" w:color="auto"/>
            </w:tcBorders>
            <w:tcMar>
              <w:top w:w="0" w:type="dxa"/>
              <w:left w:w="28" w:type="dxa"/>
              <w:bottom w:w="0" w:type="dxa"/>
              <w:right w:w="28" w:type="dxa"/>
            </w:tcMar>
            <w:hideMark/>
          </w:tcPr>
          <w:p w14:paraId="786DF57E" w14:textId="77777777" w:rsidR="004477BC" w:rsidRDefault="004477BC" w:rsidP="00E148AE">
            <w:pPr>
              <w:spacing w:line="252" w:lineRule="auto"/>
              <w:jc w:val="center"/>
              <w:rPr>
                <w:sz w:val="24"/>
                <w:szCs w:val="24"/>
                <w:lang w:val="en-US"/>
              </w:rPr>
            </w:pPr>
            <w:r>
              <w:rPr>
                <w:sz w:val="24"/>
                <w:szCs w:val="24"/>
                <w:lang w:val="en-US"/>
              </w:rPr>
              <w:t>1</w:t>
            </w:r>
          </w:p>
        </w:tc>
        <w:tc>
          <w:tcPr>
            <w:tcW w:w="7796" w:type="dxa"/>
            <w:tcBorders>
              <w:top w:val="nil"/>
              <w:left w:val="nil"/>
              <w:bottom w:val="single" w:sz="8" w:space="0" w:color="auto"/>
              <w:right w:val="single" w:sz="8" w:space="0" w:color="auto"/>
            </w:tcBorders>
            <w:tcMar>
              <w:top w:w="0" w:type="dxa"/>
              <w:left w:w="28" w:type="dxa"/>
              <w:bottom w:w="0" w:type="dxa"/>
              <w:right w:w="28" w:type="dxa"/>
            </w:tcMar>
            <w:hideMark/>
          </w:tcPr>
          <w:p w14:paraId="2D6FCA53" w14:textId="77777777" w:rsidR="004477BC" w:rsidRPr="004477BC" w:rsidRDefault="004477BC" w:rsidP="00E148AE">
            <w:pPr>
              <w:spacing w:line="252" w:lineRule="auto"/>
              <w:jc w:val="both"/>
              <w:rPr>
                <w:sz w:val="24"/>
                <w:szCs w:val="24"/>
              </w:rPr>
            </w:pPr>
            <w:r w:rsidRPr="004477BC">
              <w:rPr>
                <w:color w:val="000000"/>
                <w:sz w:val="24"/>
                <w:szCs w:val="24"/>
                <w:shd w:val="clear" w:color="auto" w:fill="FFFFFF"/>
              </w:rPr>
              <w:t>Неполная оплата потребителем коммунальной услуги в размере в размере, превышающем сумму 2 месячных размеров платы за коммунальную услугу, исчисленных исходя из норматива потребления коммунальной услуги.</w:t>
            </w:r>
          </w:p>
        </w:tc>
      </w:tr>
      <w:tr w:rsidR="004477BC" w:rsidRPr="005F4E51" w14:paraId="0B230ACF" w14:textId="77777777" w:rsidTr="00182AC9">
        <w:trPr>
          <w:jc w:val="center"/>
        </w:trPr>
        <w:tc>
          <w:tcPr>
            <w:tcW w:w="1550"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1F4DFEE1" w14:textId="77777777" w:rsidR="004477BC" w:rsidRPr="005F4E51" w:rsidRDefault="004477BC" w:rsidP="00E148AE">
            <w:pPr>
              <w:spacing w:line="252" w:lineRule="auto"/>
              <w:jc w:val="center"/>
              <w:rPr>
                <w:sz w:val="24"/>
                <w:szCs w:val="24"/>
              </w:rPr>
            </w:pPr>
            <w:r>
              <w:rPr>
                <w:sz w:val="24"/>
                <w:szCs w:val="24"/>
              </w:rPr>
              <w:t>2</w:t>
            </w:r>
          </w:p>
        </w:tc>
        <w:tc>
          <w:tcPr>
            <w:tcW w:w="7796" w:type="dxa"/>
            <w:tcBorders>
              <w:top w:val="nil"/>
              <w:left w:val="nil"/>
              <w:bottom w:val="single" w:sz="8" w:space="0" w:color="auto"/>
              <w:right w:val="single" w:sz="8" w:space="0" w:color="auto"/>
            </w:tcBorders>
            <w:tcMar>
              <w:top w:w="0" w:type="dxa"/>
              <w:left w:w="28" w:type="dxa"/>
              <w:bottom w:w="0" w:type="dxa"/>
              <w:right w:w="28" w:type="dxa"/>
            </w:tcMar>
          </w:tcPr>
          <w:p w14:paraId="0E37BB8F" w14:textId="77777777" w:rsidR="004477BC" w:rsidRPr="004477BC" w:rsidRDefault="004477BC" w:rsidP="00E148AE">
            <w:pPr>
              <w:spacing w:line="252" w:lineRule="auto"/>
              <w:jc w:val="both"/>
              <w:rPr>
                <w:sz w:val="24"/>
                <w:szCs w:val="24"/>
              </w:rPr>
            </w:pPr>
            <w:r w:rsidRPr="004477BC">
              <w:rPr>
                <w:color w:val="000000"/>
                <w:sz w:val="24"/>
                <w:szCs w:val="24"/>
                <w:shd w:val="clear" w:color="auto" w:fill="FFFFFF"/>
              </w:rPr>
              <w:t>Проведение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tc>
      </w:tr>
      <w:tr w:rsidR="0075424F" w:rsidRPr="004477BC" w14:paraId="212D3686" w14:textId="77777777" w:rsidTr="00182AC9">
        <w:trPr>
          <w:jc w:val="center"/>
        </w:trPr>
        <w:tc>
          <w:tcPr>
            <w:tcW w:w="1550"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A6260F8" w14:textId="77777777" w:rsidR="0075424F" w:rsidRPr="0075424F" w:rsidRDefault="0075424F" w:rsidP="00027DBC">
            <w:pPr>
              <w:spacing w:line="252" w:lineRule="auto"/>
              <w:jc w:val="center"/>
              <w:rPr>
                <w:sz w:val="24"/>
                <w:szCs w:val="24"/>
              </w:rPr>
            </w:pPr>
            <w:r>
              <w:rPr>
                <w:sz w:val="24"/>
                <w:szCs w:val="24"/>
              </w:rPr>
              <w:t>3</w:t>
            </w:r>
          </w:p>
        </w:tc>
        <w:tc>
          <w:tcPr>
            <w:tcW w:w="7796" w:type="dxa"/>
            <w:tcBorders>
              <w:top w:val="nil"/>
              <w:left w:val="nil"/>
              <w:bottom w:val="single" w:sz="8" w:space="0" w:color="auto"/>
              <w:right w:val="single" w:sz="8" w:space="0" w:color="auto"/>
            </w:tcBorders>
            <w:tcMar>
              <w:top w:w="0" w:type="dxa"/>
              <w:left w:w="28" w:type="dxa"/>
              <w:bottom w:w="0" w:type="dxa"/>
              <w:right w:w="28" w:type="dxa"/>
            </w:tcMar>
          </w:tcPr>
          <w:p w14:paraId="0B2EE5A9" w14:textId="77777777" w:rsidR="0075424F" w:rsidRPr="0075424F" w:rsidRDefault="0075424F" w:rsidP="00027DBC">
            <w:pPr>
              <w:spacing w:line="252" w:lineRule="auto"/>
              <w:jc w:val="both"/>
              <w:rPr>
                <w:color w:val="000000"/>
                <w:sz w:val="24"/>
                <w:szCs w:val="24"/>
                <w:shd w:val="clear" w:color="auto" w:fill="FFFFFF"/>
              </w:rPr>
            </w:pPr>
            <w:r w:rsidRPr="0075424F">
              <w:rPr>
                <w:color w:val="000000"/>
                <w:sz w:val="24"/>
                <w:szCs w:val="24"/>
                <w:shd w:val="clear" w:color="auto" w:fill="FFFFFF"/>
              </w:rPr>
              <w:t>Возникновение или угроза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tc>
      </w:tr>
      <w:tr w:rsidR="0075424F" w:rsidRPr="004477BC" w14:paraId="1524E74F" w14:textId="77777777" w:rsidTr="00182AC9">
        <w:trPr>
          <w:jc w:val="center"/>
        </w:trPr>
        <w:tc>
          <w:tcPr>
            <w:tcW w:w="1550"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5E917A03" w14:textId="77777777" w:rsidR="0075424F" w:rsidRPr="0075424F" w:rsidRDefault="0075424F" w:rsidP="00027DBC">
            <w:pPr>
              <w:spacing w:line="252" w:lineRule="auto"/>
              <w:jc w:val="center"/>
              <w:rPr>
                <w:sz w:val="24"/>
                <w:szCs w:val="24"/>
              </w:rPr>
            </w:pPr>
            <w:r>
              <w:rPr>
                <w:sz w:val="24"/>
                <w:szCs w:val="24"/>
              </w:rPr>
              <w:t>4</w:t>
            </w:r>
          </w:p>
        </w:tc>
        <w:tc>
          <w:tcPr>
            <w:tcW w:w="7796" w:type="dxa"/>
            <w:tcBorders>
              <w:top w:val="nil"/>
              <w:left w:val="nil"/>
              <w:bottom w:val="single" w:sz="8" w:space="0" w:color="auto"/>
              <w:right w:val="single" w:sz="8" w:space="0" w:color="auto"/>
            </w:tcBorders>
            <w:tcMar>
              <w:top w:w="0" w:type="dxa"/>
              <w:left w:w="28" w:type="dxa"/>
              <w:bottom w:w="0" w:type="dxa"/>
              <w:right w:w="28" w:type="dxa"/>
            </w:tcMar>
          </w:tcPr>
          <w:p w14:paraId="0E029BEF" w14:textId="77777777" w:rsidR="0075424F" w:rsidRPr="0075424F" w:rsidRDefault="0075424F" w:rsidP="00027DBC">
            <w:pPr>
              <w:spacing w:line="252" w:lineRule="auto"/>
              <w:jc w:val="both"/>
              <w:rPr>
                <w:color w:val="000000"/>
                <w:sz w:val="24"/>
                <w:szCs w:val="24"/>
                <w:shd w:val="clear" w:color="auto" w:fill="FFFFFF"/>
              </w:rPr>
            </w:pPr>
            <w:r w:rsidRPr="0075424F">
              <w:rPr>
                <w:color w:val="000000"/>
                <w:sz w:val="24"/>
                <w:szCs w:val="24"/>
                <w:shd w:val="clear" w:color="auto" w:fill="FFFFFF"/>
              </w:rPr>
              <w:t>Возникновение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tc>
      </w:tr>
      <w:tr w:rsidR="0075424F" w:rsidRPr="004477BC" w14:paraId="3A082A3E" w14:textId="77777777" w:rsidTr="00182AC9">
        <w:trPr>
          <w:jc w:val="center"/>
        </w:trPr>
        <w:tc>
          <w:tcPr>
            <w:tcW w:w="1550"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43CA801D" w14:textId="77777777" w:rsidR="0075424F" w:rsidRPr="0075424F" w:rsidRDefault="0075424F" w:rsidP="00027DBC">
            <w:pPr>
              <w:spacing w:line="252" w:lineRule="auto"/>
              <w:jc w:val="center"/>
              <w:rPr>
                <w:sz w:val="24"/>
                <w:szCs w:val="24"/>
              </w:rPr>
            </w:pPr>
            <w:r>
              <w:rPr>
                <w:sz w:val="24"/>
                <w:szCs w:val="24"/>
              </w:rPr>
              <w:t>5</w:t>
            </w:r>
          </w:p>
        </w:tc>
        <w:tc>
          <w:tcPr>
            <w:tcW w:w="7796" w:type="dxa"/>
            <w:tcBorders>
              <w:top w:val="nil"/>
              <w:left w:val="nil"/>
              <w:bottom w:val="single" w:sz="8" w:space="0" w:color="auto"/>
              <w:right w:val="single" w:sz="8" w:space="0" w:color="auto"/>
            </w:tcBorders>
            <w:tcMar>
              <w:top w:w="0" w:type="dxa"/>
              <w:left w:w="28" w:type="dxa"/>
              <w:bottom w:w="0" w:type="dxa"/>
              <w:right w:w="28" w:type="dxa"/>
            </w:tcMar>
          </w:tcPr>
          <w:p w14:paraId="4AA1BE23" w14:textId="77777777" w:rsidR="0075424F" w:rsidRPr="0075424F" w:rsidRDefault="0075424F" w:rsidP="00027DBC">
            <w:pPr>
              <w:spacing w:line="252" w:lineRule="auto"/>
              <w:jc w:val="both"/>
              <w:rPr>
                <w:color w:val="000000"/>
                <w:sz w:val="24"/>
                <w:szCs w:val="24"/>
                <w:shd w:val="clear" w:color="auto" w:fill="FFFFFF"/>
              </w:rPr>
            </w:pPr>
            <w:r w:rsidRPr="0075424F">
              <w:rPr>
                <w:color w:val="000000"/>
                <w:sz w:val="24"/>
                <w:szCs w:val="24"/>
                <w:shd w:val="clear" w:color="auto" w:fill="FFFFFF"/>
              </w:rPr>
              <w:t>Выявление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tc>
      </w:tr>
      <w:tr w:rsidR="0075424F" w:rsidRPr="004477BC" w14:paraId="29BFA402" w14:textId="77777777" w:rsidTr="00182AC9">
        <w:trPr>
          <w:jc w:val="center"/>
        </w:trPr>
        <w:tc>
          <w:tcPr>
            <w:tcW w:w="1550"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66496B15" w14:textId="77777777" w:rsidR="0075424F" w:rsidRPr="0075424F" w:rsidRDefault="0075424F" w:rsidP="00027DBC">
            <w:pPr>
              <w:spacing w:line="252" w:lineRule="auto"/>
              <w:jc w:val="center"/>
              <w:rPr>
                <w:sz w:val="24"/>
                <w:szCs w:val="24"/>
              </w:rPr>
            </w:pPr>
            <w:r>
              <w:rPr>
                <w:sz w:val="24"/>
                <w:szCs w:val="24"/>
              </w:rPr>
              <w:t>6</w:t>
            </w:r>
          </w:p>
        </w:tc>
        <w:tc>
          <w:tcPr>
            <w:tcW w:w="7796" w:type="dxa"/>
            <w:tcBorders>
              <w:top w:val="nil"/>
              <w:left w:val="nil"/>
              <w:bottom w:val="single" w:sz="8" w:space="0" w:color="auto"/>
              <w:right w:val="single" w:sz="8" w:space="0" w:color="auto"/>
            </w:tcBorders>
            <w:tcMar>
              <w:top w:w="0" w:type="dxa"/>
              <w:left w:w="28" w:type="dxa"/>
              <w:bottom w:w="0" w:type="dxa"/>
              <w:right w:w="28" w:type="dxa"/>
            </w:tcMar>
          </w:tcPr>
          <w:p w14:paraId="299DE750" w14:textId="77777777" w:rsidR="0075424F" w:rsidRPr="0075424F" w:rsidRDefault="0075424F" w:rsidP="00027DBC">
            <w:pPr>
              <w:spacing w:line="252" w:lineRule="auto"/>
              <w:jc w:val="both"/>
              <w:rPr>
                <w:color w:val="000000"/>
                <w:sz w:val="24"/>
                <w:szCs w:val="24"/>
                <w:shd w:val="clear" w:color="auto" w:fill="FFFFFF"/>
              </w:rPr>
            </w:pPr>
            <w:r w:rsidRPr="0075424F">
              <w:rPr>
                <w:color w:val="000000"/>
                <w:sz w:val="24"/>
                <w:szCs w:val="24"/>
                <w:shd w:val="clear" w:color="auto" w:fill="FFFFFF"/>
              </w:rPr>
              <w:t>Использование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tc>
      </w:tr>
      <w:tr w:rsidR="0075424F" w:rsidRPr="004477BC" w14:paraId="77DC7C34" w14:textId="77777777" w:rsidTr="00182AC9">
        <w:trPr>
          <w:jc w:val="center"/>
        </w:trPr>
        <w:tc>
          <w:tcPr>
            <w:tcW w:w="1550"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3803A031" w14:textId="77777777" w:rsidR="0075424F" w:rsidRPr="0075424F" w:rsidRDefault="0075424F" w:rsidP="00027DBC">
            <w:pPr>
              <w:spacing w:line="252" w:lineRule="auto"/>
              <w:jc w:val="center"/>
              <w:rPr>
                <w:sz w:val="24"/>
                <w:szCs w:val="24"/>
              </w:rPr>
            </w:pPr>
            <w:r>
              <w:rPr>
                <w:sz w:val="24"/>
                <w:szCs w:val="24"/>
              </w:rPr>
              <w:t>7</w:t>
            </w:r>
          </w:p>
        </w:tc>
        <w:tc>
          <w:tcPr>
            <w:tcW w:w="7796" w:type="dxa"/>
            <w:tcBorders>
              <w:top w:val="nil"/>
              <w:left w:val="nil"/>
              <w:bottom w:val="single" w:sz="8" w:space="0" w:color="auto"/>
              <w:right w:val="single" w:sz="8" w:space="0" w:color="auto"/>
            </w:tcBorders>
            <w:tcMar>
              <w:top w:w="0" w:type="dxa"/>
              <w:left w:w="28" w:type="dxa"/>
              <w:bottom w:w="0" w:type="dxa"/>
              <w:right w:w="28" w:type="dxa"/>
            </w:tcMar>
          </w:tcPr>
          <w:p w14:paraId="7E254BDE" w14:textId="77777777" w:rsidR="0075424F" w:rsidRPr="00182AC9" w:rsidRDefault="0075424F" w:rsidP="00027DBC">
            <w:pPr>
              <w:spacing w:line="252" w:lineRule="auto"/>
              <w:jc w:val="both"/>
              <w:rPr>
                <w:color w:val="000000"/>
                <w:sz w:val="2"/>
                <w:szCs w:val="2"/>
                <w:shd w:val="clear" w:color="auto" w:fill="FFFFFF"/>
              </w:rPr>
            </w:pPr>
            <w:r w:rsidRPr="0075424F">
              <w:rPr>
                <w:color w:val="000000"/>
                <w:sz w:val="24"/>
                <w:szCs w:val="24"/>
                <w:shd w:val="clear" w:color="auto" w:fill="FFFFFF"/>
              </w:rPr>
              <w:t>Получение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исполнительного органа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tc>
      </w:tr>
    </w:tbl>
    <w:p w14:paraId="70EAB422" w14:textId="77777777" w:rsidR="005F4E51" w:rsidRDefault="005F4E51" w:rsidP="00182AC9"/>
    <w:sectPr w:rsidR="005F4E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E51"/>
    <w:rsid w:val="00182AC9"/>
    <w:rsid w:val="001F55C7"/>
    <w:rsid w:val="002B1DC1"/>
    <w:rsid w:val="004477BC"/>
    <w:rsid w:val="005F4E51"/>
    <w:rsid w:val="0075424F"/>
    <w:rsid w:val="00795253"/>
    <w:rsid w:val="00922A91"/>
    <w:rsid w:val="00A85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09D03"/>
  <w15:chartTrackingRefBased/>
  <w15:docId w15:val="{CD1D7BBF-8E0C-4B2C-811A-BF6B5BA9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E51"/>
    <w:pPr>
      <w:autoSpaceDE w:val="0"/>
      <w:autoSpaceDN w:val="0"/>
      <w:spacing w:after="0" w:line="240" w:lineRule="auto"/>
    </w:pPr>
    <w:rPr>
      <w:rFonts w:ascii="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F4E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93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130498/887da9fd6b96a2875d2993ed04232857a9301f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1208</Words>
  <Characters>6889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Кокарев Н.Г.</dc:creator>
  <cp:keywords/>
  <dc:description/>
  <cp:lastModifiedBy>Леонтьева Е.В.</cp:lastModifiedBy>
  <cp:revision>2</cp:revision>
  <dcterms:created xsi:type="dcterms:W3CDTF">2024-05-28T11:34:00Z</dcterms:created>
  <dcterms:modified xsi:type="dcterms:W3CDTF">2024-05-28T11:34:00Z</dcterms:modified>
</cp:coreProperties>
</file>